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ECFF" w14:textId="77777777" w:rsidR="002B3ABB" w:rsidRPr="001620A1" w:rsidRDefault="002B3ABB" w:rsidP="008911F8">
      <w:pPr>
        <w:spacing w:line="276" w:lineRule="auto"/>
        <w:jc w:val="center"/>
        <w:rPr>
          <w:b/>
          <w:sz w:val="28"/>
          <w:lang w:val="hr-HR"/>
        </w:rPr>
      </w:pPr>
      <w:bookmarkStart w:id="0" w:name="_GoBack"/>
      <w:bookmarkEnd w:id="0"/>
      <w:r w:rsidRPr="001620A1">
        <w:rPr>
          <w:b/>
          <w:sz w:val="28"/>
          <w:lang w:val="hr-HR"/>
        </w:rPr>
        <w:t>REPUBLIKA HRVATSKA</w:t>
      </w:r>
    </w:p>
    <w:p w14:paraId="23FEB4E0" w14:textId="77777777" w:rsidR="00047E84" w:rsidRPr="001620A1" w:rsidRDefault="002B3ABB" w:rsidP="008911F8">
      <w:pPr>
        <w:spacing w:line="276" w:lineRule="auto"/>
        <w:jc w:val="center"/>
        <w:rPr>
          <w:b/>
          <w:sz w:val="28"/>
          <w:lang w:val="hr-HR"/>
        </w:rPr>
      </w:pPr>
      <w:r w:rsidRPr="001620A1">
        <w:rPr>
          <w:b/>
          <w:sz w:val="28"/>
          <w:lang w:val="hr-HR"/>
        </w:rPr>
        <w:t>MINISTARSTVO FINANCIJA</w:t>
      </w:r>
    </w:p>
    <w:p w14:paraId="7D6DBEBA" w14:textId="77777777" w:rsidR="002B3ABB" w:rsidRPr="001620A1" w:rsidRDefault="002B3ABB" w:rsidP="0035474D">
      <w:pPr>
        <w:spacing w:line="276" w:lineRule="auto"/>
        <w:rPr>
          <w:lang w:val="hr-HR"/>
        </w:rPr>
      </w:pPr>
    </w:p>
    <w:p w14:paraId="763ADF1A" w14:textId="77777777" w:rsidR="002B3ABB" w:rsidRPr="001620A1" w:rsidRDefault="002B3ABB" w:rsidP="0035474D">
      <w:pPr>
        <w:spacing w:line="276" w:lineRule="auto"/>
        <w:rPr>
          <w:lang w:val="hr-HR"/>
        </w:rPr>
      </w:pPr>
    </w:p>
    <w:p w14:paraId="4B8DDA43" w14:textId="77777777" w:rsidR="002B3ABB" w:rsidRPr="001620A1" w:rsidRDefault="002B3ABB" w:rsidP="0035474D">
      <w:pPr>
        <w:spacing w:line="276" w:lineRule="auto"/>
        <w:rPr>
          <w:lang w:val="hr-HR"/>
        </w:rPr>
      </w:pPr>
    </w:p>
    <w:p w14:paraId="1BFB12E2" w14:textId="77777777" w:rsidR="002B3ABB" w:rsidRPr="001620A1" w:rsidRDefault="002B3ABB" w:rsidP="0035474D">
      <w:pPr>
        <w:spacing w:line="276" w:lineRule="auto"/>
        <w:rPr>
          <w:lang w:val="hr-HR"/>
        </w:rPr>
      </w:pPr>
    </w:p>
    <w:p w14:paraId="0A103A14" w14:textId="77777777" w:rsidR="002B3ABB" w:rsidRPr="001620A1" w:rsidRDefault="002B3ABB" w:rsidP="0035474D">
      <w:pPr>
        <w:spacing w:line="276" w:lineRule="auto"/>
        <w:rPr>
          <w:lang w:val="hr-HR"/>
        </w:rPr>
      </w:pPr>
    </w:p>
    <w:p w14:paraId="2B90B9CE" w14:textId="77777777" w:rsidR="002B3ABB" w:rsidRPr="001620A1" w:rsidRDefault="002B3ABB" w:rsidP="0035474D">
      <w:pPr>
        <w:spacing w:line="276" w:lineRule="auto"/>
        <w:rPr>
          <w:lang w:val="hr-HR"/>
        </w:rPr>
      </w:pPr>
    </w:p>
    <w:p w14:paraId="6A34D193" w14:textId="77777777" w:rsidR="00D67692" w:rsidRPr="001620A1" w:rsidRDefault="00D67692" w:rsidP="0035474D">
      <w:pPr>
        <w:spacing w:line="276" w:lineRule="auto"/>
        <w:rPr>
          <w:lang w:val="hr-HR"/>
        </w:rPr>
      </w:pPr>
    </w:p>
    <w:p w14:paraId="0758E805" w14:textId="77777777" w:rsidR="0035474D" w:rsidRPr="001620A1" w:rsidRDefault="0035474D" w:rsidP="0035474D">
      <w:pPr>
        <w:spacing w:line="276" w:lineRule="auto"/>
        <w:rPr>
          <w:lang w:val="hr-HR"/>
        </w:rPr>
      </w:pPr>
    </w:p>
    <w:p w14:paraId="78C9C5B4" w14:textId="77777777" w:rsidR="0035474D" w:rsidRPr="001620A1" w:rsidRDefault="0035474D" w:rsidP="0035474D">
      <w:pPr>
        <w:spacing w:line="276" w:lineRule="auto"/>
        <w:rPr>
          <w:lang w:val="hr-HR"/>
        </w:rPr>
      </w:pPr>
    </w:p>
    <w:p w14:paraId="6FB28BF0" w14:textId="77777777" w:rsidR="00D67692" w:rsidRPr="001620A1" w:rsidRDefault="00D67692" w:rsidP="0035474D">
      <w:pPr>
        <w:spacing w:line="276" w:lineRule="auto"/>
        <w:rPr>
          <w:lang w:val="hr-HR"/>
        </w:rPr>
      </w:pPr>
    </w:p>
    <w:p w14:paraId="2FAF78A4" w14:textId="77777777" w:rsidR="0035474D" w:rsidRPr="001620A1" w:rsidRDefault="0035474D" w:rsidP="0035474D">
      <w:pPr>
        <w:spacing w:line="276" w:lineRule="auto"/>
        <w:rPr>
          <w:lang w:val="hr-HR"/>
        </w:rPr>
      </w:pPr>
    </w:p>
    <w:p w14:paraId="79B3E831" w14:textId="77777777" w:rsidR="0035474D" w:rsidRPr="001620A1" w:rsidRDefault="0035474D" w:rsidP="0035474D">
      <w:pPr>
        <w:spacing w:line="276" w:lineRule="auto"/>
        <w:rPr>
          <w:lang w:val="hr-HR"/>
        </w:rPr>
      </w:pPr>
    </w:p>
    <w:p w14:paraId="05DF9DFC" w14:textId="77777777" w:rsidR="00D67692" w:rsidRPr="001620A1" w:rsidRDefault="00D67692" w:rsidP="0035474D">
      <w:pPr>
        <w:spacing w:line="276" w:lineRule="auto"/>
        <w:rPr>
          <w:lang w:val="hr-HR"/>
        </w:rPr>
      </w:pPr>
    </w:p>
    <w:p w14:paraId="6EBC7B86" w14:textId="77777777" w:rsidR="002B3ABB" w:rsidRPr="001620A1" w:rsidRDefault="002B3ABB" w:rsidP="0035474D">
      <w:pPr>
        <w:spacing w:line="276" w:lineRule="auto"/>
        <w:rPr>
          <w:lang w:val="hr-HR"/>
        </w:rPr>
      </w:pPr>
    </w:p>
    <w:p w14:paraId="4FDBBF9C" w14:textId="77777777" w:rsidR="002B3ABB" w:rsidRPr="001620A1" w:rsidRDefault="002B3ABB" w:rsidP="0035474D">
      <w:pPr>
        <w:spacing w:line="276" w:lineRule="auto"/>
        <w:rPr>
          <w:lang w:val="hr-HR"/>
        </w:rPr>
      </w:pPr>
    </w:p>
    <w:p w14:paraId="3C52AE4C" w14:textId="77777777" w:rsidR="002B3ABB" w:rsidRPr="001620A1" w:rsidRDefault="002B3ABB" w:rsidP="0035474D">
      <w:pPr>
        <w:spacing w:line="276" w:lineRule="auto"/>
        <w:rPr>
          <w:lang w:val="hr-HR"/>
        </w:rPr>
      </w:pPr>
    </w:p>
    <w:p w14:paraId="4AF55F4B" w14:textId="77777777" w:rsidR="002B3ABB" w:rsidRPr="001620A1" w:rsidRDefault="002B3ABB" w:rsidP="0035474D">
      <w:pPr>
        <w:pStyle w:val="Title"/>
        <w:spacing w:line="276" w:lineRule="auto"/>
        <w:jc w:val="center"/>
        <w:rPr>
          <w:lang w:val="hr-HR"/>
        </w:rPr>
      </w:pPr>
      <w:r w:rsidRPr="001620A1">
        <w:rPr>
          <w:lang w:val="hr-HR"/>
        </w:rPr>
        <w:t>STRATEGIJA UPRAVLJANJA JAVNIM DUGOM ZA RAZDOBLJE 201</w:t>
      </w:r>
      <w:r w:rsidR="00025326">
        <w:rPr>
          <w:lang w:val="hr-HR"/>
        </w:rPr>
        <w:t>9</w:t>
      </w:r>
      <w:r w:rsidRPr="001620A1">
        <w:rPr>
          <w:lang w:val="hr-HR"/>
        </w:rPr>
        <w:t>. - 20</w:t>
      </w:r>
      <w:r w:rsidR="00925806" w:rsidRPr="001620A1">
        <w:rPr>
          <w:lang w:val="hr-HR"/>
        </w:rPr>
        <w:t>2</w:t>
      </w:r>
      <w:r w:rsidR="00025326">
        <w:rPr>
          <w:lang w:val="hr-HR"/>
        </w:rPr>
        <w:t>1</w:t>
      </w:r>
      <w:r w:rsidRPr="001620A1">
        <w:rPr>
          <w:lang w:val="hr-HR"/>
        </w:rPr>
        <w:t>.</w:t>
      </w:r>
    </w:p>
    <w:p w14:paraId="4255973D" w14:textId="77777777" w:rsidR="002B3ABB" w:rsidRPr="001620A1" w:rsidRDefault="002B3ABB" w:rsidP="0035474D">
      <w:pPr>
        <w:spacing w:line="276" w:lineRule="auto"/>
        <w:rPr>
          <w:lang w:val="hr-HR"/>
        </w:rPr>
      </w:pPr>
    </w:p>
    <w:p w14:paraId="6897D494" w14:textId="77777777" w:rsidR="002B3ABB" w:rsidRPr="001620A1" w:rsidRDefault="002B3ABB" w:rsidP="0035474D">
      <w:pPr>
        <w:spacing w:line="276" w:lineRule="auto"/>
        <w:rPr>
          <w:lang w:val="hr-HR"/>
        </w:rPr>
      </w:pPr>
    </w:p>
    <w:p w14:paraId="23C30E4E" w14:textId="77777777" w:rsidR="0035474D" w:rsidRPr="001620A1" w:rsidRDefault="0035474D" w:rsidP="0035474D">
      <w:pPr>
        <w:spacing w:line="276" w:lineRule="auto"/>
        <w:rPr>
          <w:lang w:val="hr-HR"/>
        </w:rPr>
      </w:pPr>
    </w:p>
    <w:p w14:paraId="0D088654" w14:textId="77777777" w:rsidR="0035474D" w:rsidRPr="001620A1" w:rsidRDefault="0035474D" w:rsidP="0035474D">
      <w:pPr>
        <w:spacing w:line="276" w:lineRule="auto"/>
        <w:rPr>
          <w:lang w:val="hr-HR"/>
        </w:rPr>
      </w:pPr>
    </w:p>
    <w:p w14:paraId="1B15FCA4" w14:textId="77777777" w:rsidR="002B3ABB" w:rsidRPr="001620A1" w:rsidRDefault="002B3ABB" w:rsidP="0035474D">
      <w:pPr>
        <w:spacing w:line="276" w:lineRule="auto"/>
        <w:rPr>
          <w:lang w:val="hr-HR"/>
        </w:rPr>
      </w:pPr>
    </w:p>
    <w:p w14:paraId="3589D4EE" w14:textId="77777777" w:rsidR="002B3ABB" w:rsidRDefault="002B3ABB" w:rsidP="0035474D">
      <w:pPr>
        <w:spacing w:line="276" w:lineRule="auto"/>
        <w:rPr>
          <w:lang w:val="hr-HR"/>
        </w:rPr>
      </w:pPr>
    </w:p>
    <w:p w14:paraId="03BA6E87" w14:textId="77777777" w:rsidR="00F560F8" w:rsidRPr="001620A1" w:rsidRDefault="00F560F8" w:rsidP="0035474D">
      <w:pPr>
        <w:spacing w:line="276" w:lineRule="auto"/>
        <w:rPr>
          <w:lang w:val="hr-HR"/>
        </w:rPr>
      </w:pPr>
    </w:p>
    <w:p w14:paraId="222EF022" w14:textId="77777777" w:rsidR="002B3ABB" w:rsidRPr="001620A1" w:rsidRDefault="002B3ABB" w:rsidP="0035474D">
      <w:pPr>
        <w:spacing w:line="276" w:lineRule="auto"/>
        <w:rPr>
          <w:lang w:val="hr-HR"/>
        </w:rPr>
      </w:pPr>
    </w:p>
    <w:p w14:paraId="7DBF1FF0" w14:textId="77777777" w:rsidR="00FA4575" w:rsidRPr="001620A1" w:rsidRDefault="00FA4575" w:rsidP="0035474D">
      <w:pPr>
        <w:spacing w:line="276" w:lineRule="auto"/>
        <w:rPr>
          <w:lang w:val="hr-HR"/>
        </w:rPr>
      </w:pPr>
    </w:p>
    <w:p w14:paraId="2839475B" w14:textId="77777777" w:rsidR="00FA4575" w:rsidRPr="001620A1" w:rsidRDefault="00FA4575" w:rsidP="0035474D">
      <w:pPr>
        <w:spacing w:line="276" w:lineRule="auto"/>
        <w:rPr>
          <w:lang w:val="hr-HR"/>
        </w:rPr>
      </w:pPr>
    </w:p>
    <w:p w14:paraId="387329A1" w14:textId="77777777" w:rsidR="00FA4575" w:rsidRDefault="00FA4575" w:rsidP="0035474D">
      <w:pPr>
        <w:spacing w:line="276" w:lineRule="auto"/>
        <w:rPr>
          <w:lang w:val="hr-HR"/>
        </w:rPr>
      </w:pPr>
    </w:p>
    <w:p w14:paraId="3510C87A" w14:textId="77777777" w:rsidR="00677184" w:rsidRPr="001620A1" w:rsidRDefault="00677184" w:rsidP="0035474D">
      <w:pPr>
        <w:spacing w:line="276" w:lineRule="auto"/>
        <w:rPr>
          <w:lang w:val="hr-HR"/>
        </w:rPr>
      </w:pPr>
    </w:p>
    <w:p w14:paraId="5FE7B2A1" w14:textId="77777777" w:rsidR="00FA4575" w:rsidRPr="001620A1" w:rsidRDefault="00FA4575" w:rsidP="0035474D">
      <w:pPr>
        <w:spacing w:line="276" w:lineRule="auto"/>
        <w:rPr>
          <w:lang w:val="hr-HR"/>
        </w:rPr>
      </w:pPr>
    </w:p>
    <w:p w14:paraId="56BCC12C" w14:textId="77777777" w:rsidR="00FA4575" w:rsidRPr="001620A1" w:rsidRDefault="00FA4575" w:rsidP="0035474D">
      <w:pPr>
        <w:spacing w:line="276" w:lineRule="auto"/>
        <w:rPr>
          <w:lang w:val="hr-HR"/>
        </w:rPr>
      </w:pPr>
    </w:p>
    <w:p w14:paraId="224BAA66" w14:textId="77777777" w:rsidR="00FA4575" w:rsidRPr="001620A1" w:rsidRDefault="00FA4575" w:rsidP="0035474D">
      <w:pPr>
        <w:spacing w:line="276" w:lineRule="auto"/>
        <w:rPr>
          <w:lang w:val="hr-HR"/>
        </w:rPr>
      </w:pPr>
    </w:p>
    <w:p w14:paraId="4BD4D6BB" w14:textId="77777777" w:rsidR="00FA4575" w:rsidRPr="001620A1" w:rsidRDefault="00FA4575" w:rsidP="0035474D">
      <w:pPr>
        <w:spacing w:line="276" w:lineRule="auto"/>
        <w:rPr>
          <w:lang w:val="hr-HR"/>
        </w:rPr>
      </w:pPr>
    </w:p>
    <w:p w14:paraId="3F3EAF4E" w14:textId="77777777" w:rsidR="002B3ABB" w:rsidRPr="001620A1" w:rsidRDefault="002B3ABB" w:rsidP="0035474D">
      <w:pPr>
        <w:spacing w:line="276" w:lineRule="auto"/>
        <w:rPr>
          <w:lang w:val="hr-HR"/>
        </w:rPr>
      </w:pPr>
    </w:p>
    <w:p w14:paraId="62D82856" w14:textId="77777777" w:rsidR="002B3ABB" w:rsidRPr="001620A1" w:rsidRDefault="002B3ABB" w:rsidP="0035474D">
      <w:pPr>
        <w:pBdr>
          <w:bottom w:val="single" w:sz="12" w:space="1" w:color="auto"/>
        </w:pBdr>
        <w:spacing w:line="276" w:lineRule="auto"/>
        <w:rPr>
          <w:lang w:val="hr-HR"/>
        </w:rPr>
      </w:pPr>
    </w:p>
    <w:p w14:paraId="199065C1" w14:textId="77777777" w:rsidR="002B3ABB" w:rsidRPr="001620A1" w:rsidRDefault="002B3ABB" w:rsidP="0035474D">
      <w:pPr>
        <w:spacing w:line="276" w:lineRule="auto"/>
        <w:jc w:val="center"/>
        <w:rPr>
          <w:b/>
          <w:sz w:val="28"/>
          <w:lang w:val="hr-HR"/>
        </w:rPr>
        <w:sectPr w:rsidR="002B3ABB" w:rsidRPr="001620A1" w:rsidSect="00CA5618">
          <w:headerReference w:type="default" r:id="rId12"/>
          <w:footerReference w:type="default" r:id="rId13"/>
          <w:type w:val="continuous"/>
          <w:pgSz w:w="11906" w:h="16838"/>
          <w:pgMar w:top="1417" w:right="1417" w:bottom="1417" w:left="1417" w:header="708" w:footer="708" w:gutter="0"/>
          <w:pgNumType w:start="1"/>
          <w:cols w:space="708"/>
          <w:titlePg/>
          <w:docGrid w:linePitch="360"/>
        </w:sectPr>
      </w:pPr>
      <w:r w:rsidRPr="001620A1">
        <w:rPr>
          <w:b/>
          <w:sz w:val="28"/>
          <w:lang w:val="hr-HR"/>
        </w:rPr>
        <w:t xml:space="preserve">Zagreb, </w:t>
      </w:r>
      <w:r w:rsidR="00925806" w:rsidRPr="001620A1">
        <w:rPr>
          <w:b/>
          <w:sz w:val="28"/>
          <w:lang w:val="hr-HR"/>
        </w:rPr>
        <w:t>svibanj</w:t>
      </w:r>
      <w:r w:rsidR="00EE167B" w:rsidRPr="001620A1">
        <w:rPr>
          <w:b/>
          <w:sz w:val="28"/>
          <w:lang w:val="hr-HR"/>
        </w:rPr>
        <w:t xml:space="preserve"> 201</w:t>
      </w:r>
      <w:r w:rsidR="00025326">
        <w:rPr>
          <w:b/>
          <w:sz w:val="28"/>
          <w:lang w:val="hr-HR"/>
        </w:rPr>
        <w:t>9</w:t>
      </w:r>
      <w:r w:rsidRPr="001620A1">
        <w:rPr>
          <w:b/>
          <w:sz w:val="28"/>
          <w:lang w:val="hr-HR"/>
        </w:rPr>
        <w:t>.</w:t>
      </w:r>
    </w:p>
    <w:sdt>
      <w:sdtPr>
        <w:rPr>
          <w:rFonts w:asciiTheme="minorHAnsi" w:eastAsiaTheme="minorHAnsi" w:hAnsiTheme="minorHAnsi" w:cstheme="minorBidi"/>
          <w:b w:val="0"/>
          <w:bCs w:val="0"/>
          <w:color w:val="auto"/>
          <w:sz w:val="22"/>
          <w:szCs w:val="22"/>
          <w:lang w:val="hr-HR" w:eastAsia="en-US"/>
        </w:rPr>
        <w:id w:val="716008706"/>
        <w:docPartObj>
          <w:docPartGallery w:val="Table of Contents"/>
          <w:docPartUnique/>
        </w:docPartObj>
      </w:sdtPr>
      <w:sdtEndPr/>
      <w:sdtContent>
        <w:p w14:paraId="539C4FEA" w14:textId="77777777" w:rsidR="008911F8" w:rsidRPr="008E7550" w:rsidRDefault="008911F8">
          <w:pPr>
            <w:pStyle w:val="TOCHeading"/>
            <w:rPr>
              <w:lang w:val="hr-HR"/>
            </w:rPr>
          </w:pPr>
          <w:r w:rsidRPr="008E7550">
            <w:rPr>
              <w:lang w:val="hr-HR"/>
            </w:rPr>
            <w:t>Sadržaj</w:t>
          </w:r>
        </w:p>
        <w:p w14:paraId="75957E5E" w14:textId="77777777" w:rsidR="007F181C" w:rsidRDefault="008911F8">
          <w:pPr>
            <w:pStyle w:val="TOC1"/>
            <w:rPr>
              <w:rFonts w:eastAsiaTheme="minorEastAsia"/>
              <w:noProof/>
              <w:lang w:val="hr-HR" w:eastAsia="hr-HR"/>
            </w:rPr>
          </w:pPr>
          <w:r w:rsidRPr="002D5C87">
            <w:rPr>
              <w:lang w:val="hr-HR"/>
            </w:rPr>
            <w:fldChar w:fldCharType="begin"/>
          </w:r>
          <w:r w:rsidRPr="002D5C87">
            <w:rPr>
              <w:lang w:val="hr-HR"/>
            </w:rPr>
            <w:instrText xml:space="preserve"> TOC \o "1-3" \h \z \u </w:instrText>
          </w:r>
          <w:r w:rsidRPr="002D5C87">
            <w:rPr>
              <w:lang w:val="hr-HR"/>
            </w:rPr>
            <w:fldChar w:fldCharType="separate"/>
          </w:r>
          <w:hyperlink w:anchor="_Toc10032419" w:history="1">
            <w:r w:rsidR="007F181C" w:rsidRPr="00844828">
              <w:rPr>
                <w:rStyle w:val="Hyperlink"/>
                <w:noProof/>
                <w:lang w:val="hr-HR"/>
              </w:rPr>
              <w:t>1.</w:t>
            </w:r>
            <w:r w:rsidR="007F181C">
              <w:rPr>
                <w:rFonts w:eastAsiaTheme="minorEastAsia"/>
                <w:noProof/>
                <w:lang w:val="hr-HR" w:eastAsia="hr-HR"/>
              </w:rPr>
              <w:tab/>
            </w:r>
            <w:r w:rsidR="007F181C" w:rsidRPr="00844828">
              <w:rPr>
                <w:rStyle w:val="Hyperlink"/>
                <w:noProof/>
                <w:lang w:val="hr-HR"/>
              </w:rPr>
              <w:t>UVOD</w:t>
            </w:r>
            <w:r w:rsidR="007F181C">
              <w:rPr>
                <w:noProof/>
                <w:webHidden/>
              </w:rPr>
              <w:tab/>
            </w:r>
            <w:r w:rsidR="007F181C">
              <w:rPr>
                <w:noProof/>
                <w:webHidden/>
              </w:rPr>
              <w:fldChar w:fldCharType="begin"/>
            </w:r>
            <w:r w:rsidR="007F181C">
              <w:rPr>
                <w:noProof/>
                <w:webHidden/>
              </w:rPr>
              <w:instrText xml:space="preserve"> PAGEREF _Toc10032419 \h </w:instrText>
            </w:r>
            <w:r w:rsidR="007F181C">
              <w:rPr>
                <w:noProof/>
                <w:webHidden/>
              </w:rPr>
            </w:r>
            <w:r w:rsidR="007F181C">
              <w:rPr>
                <w:noProof/>
                <w:webHidden/>
              </w:rPr>
              <w:fldChar w:fldCharType="separate"/>
            </w:r>
            <w:r w:rsidR="007F181C">
              <w:rPr>
                <w:noProof/>
                <w:webHidden/>
              </w:rPr>
              <w:t>3</w:t>
            </w:r>
            <w:r w:rsidR="007F181C">
              <w:rPr>
                <w:noProof/>
                <w:webHidden/>
              </w:rPr>
              <w:fldChar w:fldCharType="end"/>
            </w:r>
          </w:hyperlink>
        </w:p>
        <w:p w14:paraId="031DD310" w14:textId="77777777" w:rsidR="007F181C" w:rsidRDefault="006D348B">
          <w:pPr>
            <w:pStyle w:val="TOC1"/>
            <w:rPr>
              <w:rFonts w:eastAsiaTheme="minorEastAsia"/>
              <w:noProof/>
              <w:lang w:val="hr-HR" w:eastAsia="hr-HR"/>
            </w:rPr>
          </w:pPr>
          <w:hyperlink w:anchor="_Toc10032420" w:history="1">
            <w:r w:rsidR="007F181C" w:rsidRPr="00844828">
              <w:rPr>
                <w:rStyle w:val="Hyperlink"/>
                <w:noProof/>
                <w:lang w:val="hr-HR"/>
              </w:rPr>
              <w:t>2.</w:t>
            </w:r>
            <w:r w:rsidR="007F181C">
              <w:rPr>
                <w:rFonts w:eastAsiaTheme="minorEastAsia"/>
                <w:noProof/>
                <w:lang w:val="hr-HR" w:eastAsia="hr-HR"/>
              </w:rPr>
              <w:tab/>
            </w:r>
            <w:r w:rsidR="007F181C" w:rsidRPr="00844828">
              <w:rPr>
                <w:rStyle w:val="Hyperlink"/>
                <w:noProof/>
                <w:lang w:val="hr-HR"/>
              </w:rPr>
              <w:t>PRAVNI I INSTITUCIONALNI OKVIR UPRAVLJANJA JAVNIM DUGOM</w:t>
            </w:r>
            <w:r w:rsidR="007F181C">
              <w:rPr>
                <w:noProof/>
                <w:webHidden/>
              </w:rPr>
              <w:tab/>
            </w:r>
            <w:r w:rsidR="007F181C">
              <w:rPr>
                <w:noProof/>
                <w:webHidden/>
              </w:rPr>
              <w:fldChar w:fldCharType="begin"/>
            </w:r>
            <w:r w:rsidR="007F181C">
              <w:rPr>
                <w:noProof/>
                <w:webHidden/>
              </w:rPr>
              <w:instrText xml:space="preserve"> PAGEREF _Toc10032420 \h </w:instrText>
            </w:r>
            <w:r w:rsidR="007F181C">
              <w:rPr>
                <w:noProof/>
                <w:webHidden/>
              </w:rPr>
            </w:r>
            <w:r w:rsidR="007F181C">
              <w:rPr>
                <w:noProof/>
                <w:webHidden/>
              </w:rPr>
              <w:fldChar w:fldCharType="separate"/>
            </w:r>
            <w:r w:rsidR="007F181C">
              <w:rPr>
                <w:noProof/>
                <w:webHidden/>
              </w:rPr>
              <w:t>5</w:t>
            </w:r>
            <w:r w:rsidR="007F181C">
              <w:rPr>
                <w:noProof/>
                <w:webHidden/>
              </w:rPr>
              <w:fldChar w:fldCharType="end"/>
            </w:r>
          </w:hyperlink>
        </w:p>
        <w:p w14:paraId="2A36CA7B" w14:textId="77777777" w:rsidR="007F181C" w:rsidRDefault="006D348B">
          <w:pPr>
            <w:pStyle w:val="TOC1"/>
            <w:rPr>
              <w:rFonts w:eastAsiaTheme="minorEastAsia"/>
              <w:noProof/>
              <w:lang w:val="hr-HR" w:eastAsia="hr-HR"/>
            </w:rPr>
          </w:pPr>
          <w:hyperlink w:anchor="_Toc10032421" w:history="1">
            <w:r w:rsidR="007F181C" w:rsidRPr="00844828">
              <w:rPr>
                <w:rStyle w:val="Hyperlink"/>
                <w:noProof/>
                <w:lang w:val="hr-HR"/>
              </w:rPr>
              <w:t>3.</w:t>
            </w:r>
            <w:r w:rsidR="007F181C">
              <w:rPr>
                <w:rFonts w:eastAsiaTheme="minorEastAsia"/>
                <w:noProof/>
                <w:lang w:val="hr-HR" w:eastAsia="hr-HR"/>
              </w:rPr>
              <w:tab/>
            </w:r>
            <w:r w:rsidR="007F181C" w:rsidRPr="00844828">
              <w:rPr>
                <w:rStyle w:val="Hyperlink"/>
                <w:noProof/>
                <w:lang w:val="hr-HR"/>
              </w:rPr>
              <w:t>STANJE JAVNOG DUGA I STANJE JAMSTAVA</w:t>
            </w:r>
            <w:r w:rsidR="007F181C">
              <w:rPr>
                <w:noProof/>
                <w:webHidden/>
              </w:rPr>
              <w:tab/>
            </w:r>
            <w:r w:rsidR="007F181C">
              <w:rPr>
                <w:noProof/>
                <w:webHidden/>
              </w:rPr>
              <w:fldChar w:fldCharType="begin"/>
            </w:r>
            <w:r w:rsidR="007F181C">
              <w:rPr>
                <w:noProof/>
                <w:webHidden/>
              </w:rPr>
              <w:instrText xml:space="preserve"> PAGEREF _Toc10032421 \h </w:instrText>
            </w:r>
            <w:r w:rsidR="007F181C">
              <w:rPr>
                <w:noProof/>
                <w:webHidden/>
              </w:rPr>
            </w:r>
            <w:r w:rsidR="007F181C">
              <w:rPr>
                <w:noProof/>
                <w:webHidden/>
              </w:rPr>
              <w:fldChar w:fldCharType="separate"/>
            </w:r>
            <w:r w:rsidR="007F181C">
              <w:rPr>
                <w:noProof/>
                <w:webHidden/>
              </w:rPr>
              <w:t>8</w:t>
            </w:r>
            <w:r w:rsidR="007F181C">
              <w:rPr>
                <w:noProof/>
                <w:webHidden/>
              </w:rPr>
              <w:fldChar w:fldCharType="end"/>
            </w:r>
          </w:hyperlink>
        </w:p>
        <w:p w14:paraId="130296F9" w14:textId="77777777" w:rsidR="007F181C" w:rsidRDefault="006D348B">
          <w:pPr>
            <w:pStyle w:val="TOC1"/>
            <w:rPr>
              <w:rFonts w:eastAsiaTheme="minorEastAsia"/>
              <w:noProof/>
              <w:lang w:val="hr-HR" w:eastAsia="hr-HR"/>
            </w:rPr>
          </w:pPr>
          <w:hyperlink w:anchor="_Toc10032422" w:history="1">
            <w:r w:rsidR="007F181C" w:rsidRPr="00844828">
              <w:rPr>
                <w:rStyle w:val="Hyperlink"/>
                <w:noProof/>
                <w:lang w:val="hr-HR"/>
              </w:rPr>
              <w:t>4.</w:t>
            </w:r>
            <w:r w:rsidR="007F181C">
              <w:rPr>
                <w:rFonts w:eastAsiaTheme="minorEastAsia"/>
                <w:noProof/>
                <w:lang w:val="hr-HR" w:eastAsia="hr-HR"/>
              </w:rPr>
              <w:tab/>
            </w:r>
            <w:r w:rsidR="007F181C" w:rsidRPr="00844828">
              <w:rPr>
                <w:rStyle w:val="Hyperlink"/>
                <w:noProof/>
                <w:lang w:val="hr-HR"/>
              </w:rPr>
              <w:t>PREGLED FINANCIJSKOG ZADUŽIVANJA U 2018. GODINI</w:t>
            </w:r>
            <w:r w:rsidR="007F181C">
              <w:rPr>
                <w:noProof/>
                <w:webHidden/>
              </w:rPr>
              <w:tab/>
            </w:r>
            <w:r w:rsidR="007F181C">
              <w:rPr>
                <w:noProof/>
                <w:webHidden/>
              </w:rPr>
              <w:fldChar w:fldCharType="begin"/>
            </w:r>
            <w:r w:rsidR="007F181C">
              <w:rPr>
                <w:noProof/>
                <w:webHidden/>
              </w:rPr>
              <w:instrText xml:space="preserve"> PAGEREF _Toc10032422 \h </w:instrText>
            </w:r>
            <w:r w:rsidR="007F181C">
              <w:rPr>
                <w:noProof/>
                <w:webHidden/>
              </w:rPr>
            </w:r>
            <w:r w:rsidR="007F181C">
              <w:rPr>
                <w:noProof/>
                <w:webHidden/>
              </w:rPr>
              <w:fldChar w:fldCharType="separate"/>
            </w:r>
            <w:r w:rsidR="007F181C">
              <w:rPr>
                <w:noProof/>
                <w:webHidden/>
              </w:rPr>
              <w:t>12</w:t>
            </w:r>
            <w:r w:rsidR="007F181C">
              <w:rPr>
                <w:noProof/>
                <w:webHidden/>
              </w:rPr>
              <w:fldChar w:fldCharType="end"/>
            </w:r>
          </w:hyperlink>
        </w:p>
        <w:p w14:paraId="6566811B" w14:textId="77777777" w:rsidR="007F181C" w:rsidRDefault="006D348B">
          <w:pPr>
            <w:pStyle w:val="TOC2"/>
            <w:rPr>
              <w:rFonts w:eastAsiaTheme="minorEastAsia"/>
              <w:noProof/>
              <w:lang w:val="hr-HR" w:eastAsia="hr-HR"/>
            </w:rPr>
          </w:pPr>
          <w:hyperlink w:anchor="_Toc10032423" w:history="1">
            <w:r w:rsidR="007F181C" w:rsidRPr="00844828">
              <w:rPr>
                <w:rStyle w:val="Hyperlink"/>
                <w:noProof/>
                <w:lang w:val="hr-HR"/>
              </w:rPr>
              <w:t>4.1.</w:t>
            </w:r>
            <w:r w:rsidR="007F181C">
              <w:rPr>
                <w:rFonts w:eastAsiaTheme="minorEastAsia"/>
                <w:noProof/>
                <w:lang w:val="hr-HR" w:eastAsia="hr-HR"/>
              </w:rPr>
              <w:tab/>
            </w:r>
            <w:r w:rsidR="007F181C" w:rsidRPr="00844828">
              <w:rPr>
                <w:rStyle w:val="Hyperlink"/>
                <w:noProof/>
                <w:lang w:val="hr-HR"/>
              </w:rPr>
              <w:t>Zaduživanje putem obveznica</w:t>
            </w:r>
            <w:r w:rsidR="007F181C">
              <w:rPr>
                <w:noProof/>
                <w:webHidden/>
              </w:rPr>
              <w:tab/>
            </w:r>
            <w:r w:rsidR="007F181C">
              <w:rPr>
                <w:noProof/>
                <w:webHidden/>
              </w:rPr>
              <w:fldChar w:fldCharType="begin"/>
            </w:r>
            <w:r w:rsidR="007F181C">
              <w:rPr>
                <w:noProof/>
                <w:webHidden/>
              </w:rPr>
              <w:instrText xml:space="preserve"> PAGEREF _Toc10032423 \h </w:instrText>
            </w:r>
            <w:r w:rsidR="007F181C">
              <w:rPr>
                <w:noProof/>
                <w:webHidden/>
              </w:rPr>
            </w:r>
            <w:r w:rsidR="007F181C">
              <w:rPr>
                <w:noProof/>
                <w:webHidden/>
              </w:rPr>
              <w:fldChar w:fldCharType="separate"/>
            </w:r>
            <w:r w:rsidR="007F181C">
              <w:rPr>
                <w:noProof/>
                <w:webHidden/>
              </w:rPr>
              <w:t>12</w:t>
            </w:r>
            <w:r w:rsidR="007F181C">
              <w:rPr>
                <w:noProof/>
                <w:webHidden/>
              </w:rPr>
              <w:fldChar w:fldCharType="end"/>
            </w:r>
          </w:hyperlink>
        </w:p>
        <w:p w14:paraId="2873E0EC" w14:textId="77777777" w:rsidR="007F181C" w:rsidRDefault="006D348B">
          <w:pPr>
            <w:pStyle w:val="TOC2"/>
            <w:rPr>
              <w:rFonts w:eastAsiaTheme="minorEastAsia"/>
              <w:noProof/>
              <w:lang w:val="hr-HR" w:eastAsia="hr-HR"/>
            </w:rPr>
          </w:pPr>
          <w:hyperlink w:anchor="_Toc10032424" w:history="1">
            <w:r w:rsidR="007F181C" w:rsidRPr="00844828">
              <w:rPr>
                <w:rStyle w:val="Hyperlink"/>
                <w:noProof/>
                <w:lang w:val="hr-HR"/>
              </w:rPr>
              <w:t>4.2.</w:t>
            </w:r>
            <w:r w:rsidR="007F181C">
              <w:rPr>
                <w:rFonts w:eastAsiaTheme="minorEastAsia"/>
                <w:noProof/>
                <w:lang w:val="hr-HR" w:eastAsia="hr-HR"/>
              </w:rPr>
              <w:tab/>
            </w:r>
            <w:r w:rsidR="007F181C" w:rsidRPr="00844828">
              <w:rPr>
                <w:rStyle w:val="Hyperlink"/>
                <w:noProof/>
                <w:lang w:val="hr-HR"/>
              </w:rPr>
              <w:t>Zaduživanje putem dugoročnih kredita</w:t>
            </w:r>
            <w:r w:rsidR="007F181C">
              <w:rPr>
                <w:noProof/>
                <w:webHidden/>
              </w:rPr>
              <w:tab/>
            </w:r>
            <w:r w:rsidR="007F181C">
              <w:rPr>
                <w:noProof/>
                <w:webHidden/>
              </w:rPr>
              <w:fldChar w:fldCharType="begin"/>
            </w:r>
            <w:r w:rsidR="007F181C">
              <w:rPr>
                <w:noProof/>
                <w:webHidden/>
              </w:rPr>
              <w:instrText xml:space="preserve"> PAGEREF _Toc10032424 \h </w:instrText>
            </w:r>
            <w:r w:rsidR="007F181C">
              <w:rPr>
                <w:noProof/>
                <w:webHidden/>
              </w:rPr>
            </w:r>
            <w:r w:rsidR="007F181C">
              <w:rPr>
                <w:noProof/>
                <w:webHidden/>
              </w:rPr>
              <w:fldChar w:fldCharType="separate"/>
            </w:r>
            <w:r w:rsidR="007F181C">
              <w:rPr>
                <w:noProof/>
                <w:webHidden/>
              </w:rPr>
              <w:t>13</w:t>
            </w:r>
            <w:r w:rsidR="007F181C">
              <w:rPr>
                <w:noProof/>
                <w:webHidden/>
              </w:rPr>
              <w:fldChar w:fldCharType="end"/>
            </w:r>
          </w:hyperlink>
        </w:p>
        <w:p w14:paraId="008877BC" w14:textId="77777777" w:rsidR="007F181C" w:rsidRDefault="006D348B">
          <w:pPr>
            <w:pStyle w:val="TOC1"/>
            <w:rPr>
              <w:rFonts w:eastAsiaTheme="minorEastAsia"/>
              <w:noProof/>
              <w:lang w:val="hr-HR" w:eastAsia="hr-HR"/>
            </w:rPr>
          </w:pPr>
          <w:hyperlink w:anchor="_Toc10032425" w:history="1">
            <w:r w:rsidR="007F181C" w:rsidRPr="00844828">
              <w:rPr>
                <w:rStyle w:val="Hyperlink"/>
                <w:noProof/>
                <w:lang w:val="hr-HR"/>
              </w:rPr>
              <w:t>5.</w:t>
            </w:r>
            <w:r w:rsidR="007F181C">
              <w:rPr>
                <w:rFonts w:eastAsiaTheme="minorEastAsia"/>
                <w:noProof/>
                <w:lang w:val="hr-HR" w:eastAsia="hr-HR"/>
              </w:rPr>
              <w:tab/>
            </w:r>
            <w:r w:rsidR="007F181C" w:rsidRPr="00844828">
              <w:rPr>
                <w:rStyle w:val="Hyperlink"/>
                <w:noProof/>
                <w:lang w:val="hr-HR"/>
              </w:rPr>
              <w:t>DRŽAVNI DUG U RAZDOBLJU 2013. - 2018.</w:t>
            </w:r>
            <w:r w:rsidR="007F181C">
              <w:rPr>
                <w:noProof/>
                <w:webHidden/>
              </w:rPr>
              <w:tab/>
            </w:r>
            <w:r w:rsidR="007F181C">
              <w:rPr>
                <w:noProof/>
                <w:webHidden/>
              </w:rPr>
              <w:fldChar w:fldCharType="begin"/>
            </w:r>
            <w:r w:rsidR="007F181C">
              <w:rPr>
                <w:noProof/>
                <w:webHidden/>
              </w:rPr>
              <w:instrText xml:space="preserve"> PAGEREF _Toc10032425 \h </w:instrText>
            </w:r>
            <w:r w:rsidR="007F181C">
              <w:rPr>
                <w:noProof/>
                <w:webHidden/>
              </w:rPr>
            </w:r>
            <w:r w:rsidR="007F181C">
              <w:rPr>
                <w:noProof/>
                <w:webHidden/>
              </w:rPr>
              <w:fldChar w:fldCharType="separate"/>
            </w:r>
            <w:r w:rsidR="007F181C">
              <w:rPr>
                <w:noProof/>
                <w:webHidden/>
              </w:rPr>
              <w:t>15</w:t>
            </w:r>
            <w:r w:rsidR="007F181C">
              <w:rPr>
                <w:noProof/>
                <w:webHidden/>
              </w:rPr>
              <w:fldChar w:fldCharType="end"/>
            </w:r>
          </w:hyperlink>
        </w:p>
        <w:p w14:paraId="0E660B0B" w14:textId="77777777" w:rsidR="007F181C" w:rsidRDefault="006D348B">
          <w:pPr>
            <w:pStyle w:val="TOC2"/>
            <w:rPr>
              <w:rFonts w:eastAsiaTheme="minorEastAsia"/>
              <w:noProof/>
              <w:lang w:val="hr-HR" w:eastAsia="hr-HR"/>
            </w:rPr>
          </w:pPr>
          <w:hyperlink w:anchor="_Toc10032426" w:history="1">
            <w:r w:rsidR="007F181C" w:rsidRPr="00844828">
              <w:rPr>
                <w:rStyle w:val="Hyperlink"/>
                <w:noProof/>
                <w:lang w:val="hr-HR"/>
              </w:rPr>
              <w:t>5.1.</w:t>
            </w:r>
            <w:r w:rsidR="007F181C">
              <w:rPr>
                <w:rFonts w:eastAsiaTheme="minorEastAsia"/>
                <w:noProof/>
                <w:lang w:val="hr-HR" w:eastAsia="hr-HR"/>
              </w:rPr>
              <w:tab/>
            </w:r>
            <w:r w:rsidR="007F181C" w:rsidRPr="00844828">
              <w:rPr>
                <w:rStyle w:val="Hyperlink"/>
                <w:noProof/>
                <w:lang w:val="hr-HR"/>
              </w:rPr>
              <w:t>Valutna struktura državnog duga</w:t>
            </w:r>
            <w:r w:rsidR="007F181C">
              <w:rPr>
                <w:noProof/>
                <w:webHidden/>
              </w:rPr>
              <w:tab/>
            </w:r>
            <w:r w:rsidR="007F181C">
              <w:rPr>
                <w:noProof/>
                <w:webHidden/>
              </w:rPr>
              <w:fldChar w:fldCharType="begin"/>
            </w:r>
            <w:r w:rsidR="007F181C">
              <w:rPr>
                <w:noProof/>
                <w:webHidden/>
              </w:rPr>
              <w:instrText xml:space="preserve"> PAGEREF _Toc10032426 \h </w:instrText>
            </w:r>
            <w:r w:rsidR="007F181C">
              <w:rPr>
                <w:noProof/>
                <w:webHidden/>
              </w:rPr>
            </w:r>
            <w:r w:rsidR="007F181C">
              <w:rPr>
                <w:noProof/>
                <w:webHidden/>
              </w:rPr>
              <w:fldChar w:fldCharType="separate"/>
            </w:r>
            <w:r w:rsidR="007F181C">
              <w:rPr>
                <w:noProof/>
                <w:webHidden/>
              </w:rPr>
              <w:t>15</w:t>
            </w:r>
            <w:r w:rsidR="007F181C">
              <w:rPr>
                <w:noProof/>
                <w:webHidden/>
              </w:rPr>
              <w:fldChar w:fldCharType="end"/>
            </w:r>
          </w:hyperlink>
        </w:p>
        <w:p w14:paraId="7BC24AC2" w14:textId="77777777" w:rsidR="007F181C" w:rsidRDefault="006D348B">
          <w:pPr>
            <w:pStyle w:val="TOC2"/>
            <w:rPr>
              <w:rFonts w:eastAsiaTheme="minorEastAsia"/>
              <w:noProof/>
              <w:lang w:val="hr-HR" w:eastAsia="hr-HR"/>
            </w:rPr>
          </w:pPr>
          <w:hyperlink w:anchor="_Toc10032427" w:history="1">
            <w:r w:rsidR="007F181C" w:rsidRPr="00844828">
              <w:rPr>
                <w:rStyle w:val="Hyperlink"/>
                <w:noProof/>
                <w:lang w:val="hr-HR"/>
              </w:rPr>
              <w:t>5.2.</w:t>
            </w:r>
            <w:r w:rsidR="007F181C">
              <w:rPr>
                <w:rFonts w:eastAsiaTheme="minorEastAsia"/>
                <w:noProof/>
                <w:lang w:val="hr-HR" w:eastAsia="hr-HR"/>
              </w:rPr>
              <w:tab/>
            </w:r>
            <w:r w:rsidR="007F181C" w:rsidRPr="00844828">
              <w:rPr>
                <w:rStyle w:val="Hyperlink"/>
                <w:noProof/>
                <w:lang w:val="hr-HR"/>
              </w:rPr>
              <w:t>Kamatna struktura državnog duga</w:t>
            </w:r>
            <w:r w:rsidR="007F181C">
              <w:rPr>
                <w:noProof/>
                <w:webHidden/>
              </w:rPr>
              <w:tab/>
            </w:r>
            <w:r w:rsidR="007F181C">
              <w:rPr>
                <w:noProof/>
                <w:webHidden/>
              </w:rPr>
              <w:fldChar w:fldCharType="begin"/>
            </w:r>
            <w:r w:rsidR="007F181C">
              <w:rPr>
                <w:noProof/>
                <w:webHidden/>
              </w:rPr>
              <w:instrText xml:space="preserve"> PAGEREF _Toc10032427 \h </w:instrText>
            </w:r>
            <w:r w:rsidR="007F181C">
              <w:rPr>
                <w:noProof/>
                <w:webHidden/>
              </w:rPr>
            </w:r>
            <w:r w:rsidR="007F181C">
              <w:rPr>
                <w:noProof/>
                <w:webHidden/>
              </w:rPr>
              <w:fldChar w:fldCharType="separate"/>
            </w:r>
            <w:r w:rsidR="007F181C">
              <w:rPr>
                <w:noProof/>
                <w:webHidden/>
              </w:rPr>
              <w:t>17</w:t>
            </w:r>
            <w:r w:rsidR="007F181C">
              <w:rPr>
                <w:noProof/>
                <w:webHidden/>
              </w:rPr>
              <w:fldChar w:fldCharType="end"/>
            </w:r>
          </w:hyperlink>
        </w:p>
        <w:p w14:paraId="67BAEECB" w14:textId="77777777" w:rsidR="007F181C" w:rsidRDefault="006D348B">
          <w:pPr>
            <w:pStyle w:val="TOC2"/>
            <w:rPr>
              <w:rFonts w:eastAsiaTheme="minorEastAsia"/>
              <w:noProof/>
              <w:lang w:val="hr-HR" w:eastAsia="hr-HR"/>
            </w:rPr>
          </w:pPr>
          <w:hyperlink w:anchor="_Toc10032428" w:history="1">
            <w:r w:rsidR="007F181C" w:rsidRPr="00844828">
              <w:rPr>
                <w:rStyle w:val="Hyperlink"/>
                <w:noProof/>
                <w:lang w:val="hr-HR"/>
              </w:rPr>
              <w:t>5.3.</w:t>
            </w:r>
            <w:r w:rsidR="007F181C">
              <w:rPr>
                <w:rFonts w:eastAsiaTheme="minorEastAsia"/>
                <w:noProof/>
                <w:lang w:val="hr-HR" w:eastAsia="hr-HR"/>
              </w:rPr>
              <w:tab/>
            </w:r>
            <w:r w:rsidR="007F181C" w:rsidRPr="00844828">
              <w:rPr>
                <w:rStyle w:val="Hyperlink"/>
                <w:noProof/>
                <w:lang w:val="hr-HR"/>
              </w:rPr>
              <w:t>Ročna struktura državnog duga</w:t>
            </w:r>
            <w:r w:rsidR="007F181C">
              <w:rPr>
                <w:noProof/>
                <w:webHidden/>
              </w:rPr>
              <w:tab/>
            </w:r>
            <w:r w:rsidR="007F181C">
              <w:rPr>
                <w:noProof/>
                <w:webHidden/>
              </w:rPr>
              <w:fldChar w:fldCharType="begin"/>
            </w:r>
            <w:r w:rsidR="007F181C">
              <w:rPr>
                <w:noProof/>
                <w:webHidden/>
              </w:rPr>
              <w:instrText xml:space="preserve"> PAGEREF _Toc10032428 \h </w:instrText>
            </w:r>
            <w:r w:rsidR="007F181C">
              <w:rPr>
                <w:noProof/>
                <w:webHidden/>
              </w:rPr>
            </w:r>
            <w:r w:rsidR="007F181C">
              <w:rPr>
                <w:noProof/>
                <w:webHidden/>
              </w:rPr>
              <w:fldChar w:fldCharType="separate"/>
            </w:r>
            <w:r w:rsidR="007F181C">
              <w:rPr>
                <w:noProof/>
                <w:webHidden/>
              </w:rPr>
              <w:t>18</w:t>
            </w:r>
            <w:r w:rsidR="007F181C">
              <w:rPr>
                <w:noProof/>
                <w:webHidden/>
              </w:rPr>
              <w:fldChar w:fldCharType="end"/>
            </w:r>
          </w:hyperlink>
        </w:p>
        <w:p w14:paraId="0967E327" w14:textId="77777777" w:rsidR="007F181C" w:rsidRDefault="006D348B">
          <w:pPr>
            <w:pStyle w:val="TOC2"/>
            <w:rPr>
              <w:rFonts w:eastAsiaTheme="minorEastAsia"/>
              <w:noProof/>
              <w:lang w:val="hr-HR" w:eastAsia="hr-HR"/>
            </w:rPr>
          </w:pPr>
          <w:hyperlink w:anchor="_Toc10032429" w:history="1">
            <w:r w:rsidR="007F181C" w:rsidRPr="00844828">
              <w:rPr>
                <w:rStyle w:val="Hyperlink"/>
                <w:noProof/>
                <w:lang w:val="hr-HR"/>
              </w:rPr>
              <w:t>5.4.</w:t>
            </w:r>
            <w:r w:rsidR="007F181C">
              <w:rPr>
                <w:rFonts w:eastAsiaTheme="minorEastAsia"/>
                <w:noProof/>
                <w:lang w:val="hr-HR" w:eastAsia="hr-HR"/>
              </w:rPr>
              <w:tab/>
            </w:r>
            <w:r w:rsidR="007F181C" w:rsidRPr="00844828">
              <w:rPr>
                <w:rStyle w:val="Hyperlink"/>
                <w:noProof/>
                <w:lang w:val="hr-HR"/>
              </w:rPr>
              <w:t>Struktura državnog duga prema vrsti instrumenta</w:t>
            </w:r>
            <w:r w:rsidR="007F181C">
              <w:rPr>
                <w:noProof/>
                <w:webHidden/>
              </w:rPr>
              <w:tab/>
            </w:r>
            <w:r w:rsidR="007F181C">
              <w:rPr>
                <w:noProof/>
                <w:webHidden/>
              </w:rPr>
              <w:fldChar w:fldCharType="begin"/>
            </w:r>
            <w:r w:rsidR="007F181C">
              <w:rPr>
                <w:noProof/>
                <w:webHidden/>
              </w:rPr>
              <w:instrText xml:space="preserve"> PAGEREF _Toc10032429 \h </w:instrText>
            </w:r>
            <w:r w:rsidR="007F181C">
              <w:rPr>
                <w:noProof/>
                <w:webHidden/>
              </w:rPr>
            </w:r>
            <w:r w:rsidR="007F181C">
              <w:rPr>
                <w:noProof/>
                <w:webHidden/>
              </w:rPr>
              <w:fldChar w:fldCharType="separate"/>
            </w:r>
            <w:r w:rsidR="007F181C">
              <w:rPr>
                <w:noProof/>
                <w:webHidden/>
              </w:rPr>
              <w:t>19</w:t>
            </w:r>
            <w:r w:rsidR="007F181C">
              <w:rPr>
                <w:noProof/>
                <w:webHidden/>
              </w:rPr>
              <w:fldChar w:fldCharType="end"/>
            </w:r>
          </w:hyperlink>
        </w:p>
        <w:p w14:paraId="7181F6E1" w14:textId="77777777" w:rsidR="007F181C" w:rsidRDefault="006D348B">
          <w:pPr>
            <w:pStyle w:val="TOC1"/>
            <w:rPr>
              <w:rFonts w:eastAsiaTheme="minorEastAsia"/>
              <w:noProof/>
              <w:lang w:val="hr-HR" w:eastAsia="hr-HR"/>
            </w:rPr>
          </w:pPr>
          <w:hyperlink w:anchor="_Toc10032430" w:history="1">
            <w:r w:rsidR="007F181C" w:rsidRPr="00844828">
              <w:rPr>
                <w:rStyle w:val="Hyperlink"/>
                <w:noProof/>
                <w:lang w:val="hr-HR"/>
              </w:rPr>
              <w:t>6.</w:t>
            </w:r>
            <w:r w:rsidR="007F181C">
              <w:rPr>
                <w:rFonts w:eastAsiaTheme="minorEastAsia"/>
                <w:noProof/>
                <w:lang w:val="hr-HR" w:eastAsia="hr-HR"/>
              </w:rPr>
              <w:tab/>
            </w:r>
            <w:r w:rsidR="007F181C" w:rsidRPr="00844828">
              <w:rPr>
                <w:rStyle w:val="Hyperlink"/>
                <w:noProof/>
                <w:lang w:val="hr-HR"/>
              </w:rPr>
              <w:t>MAKROEKONOMSKI OKVIR</w:t>
            </w:r>
            <w:r w:rsidR="007F181C">
              <w:rPr>
                <w:noProof/>
                <w:webHidden/>
              </w:rPr>
              <w:tab/>
            </w:r>
            <w:r w:rsidR="007F181C">
              <w:rPr>
                <w:noProof/>
                <w:webHidden/>
              </w:rPr>
              <w:fldChar w:fldCharType="begin"/>
            </w:r>
            <w:r w:rsidR="007F181C">
              <w:rPr>
                <w:noProof/>
                <w:webHidden/>
              </w:rPr>
              <w:instrText xml:space="preserve"> PAGEREF _Toc10032430 \h </w:instrText>
            </w:r>
            <w:r w:rsidR="007F181C">
              <w:rPr>
                <w:noProof/>
                <w:webHidden/>
              </w:rPr>
            </w:r>
            <w:r w:rsidR="007F181C">
              <w:rPr>
                <w:noProof/>
                <w:webHidden/>
              </w:rPr>
              <w:fldChar w:fldCharType="separate"/>
            </w:r>
            <w:r w:rsidR="007F181C">
              <w:rPr>
                <w:noProof/>
                <w:webHidden/>
              </w:rPr>
              <w:t>23</w:t>
            </w:r>
            <w:r w:rsidR="007F181C">
              <w:rPr>
                <w:noProof/>
                <w:webHidden/>
              </w:rPr>
              <w:fldChar w:fldCharType="end"/>
            </w:r>
          </w:hyperlink>
        </w:p>
        <w:p w14:paraId="21E8F9EB" w14:textId="77777777" w:rsidR="007F181C" w:rsidRDefault="006D348B">
          <w:pPr>
            <w:pStyle w:val="TOC1"/>
            <w:rPr>
              <w:rFonts w:eastAsiaTheme="minorEastAsia"/>
              <w:noProof/>
              <w:lang w:val="hr-HR" w:eastAsia="hr-HR"/>
            </w:rPr>
          </w:pPr>
          <w:hyperlink w:anchor="_Toc10032431" w:history="1">
            <w:r w:rsidR="007F181C" w:rsidRPr="00844828">
              <w:rPr>
                <w:rStyle w:val="Hyperlink"/>
                <w:noProof/>
                <w:lang w:val="hr-HR"/>
              </w:rPr>
              <w:t>7.</w:t>
            </w:r>
            <w:r w:rsidR="007F181C">
              <w:rPr>
                <w:rFonts w:eastAsiaTheme="minorEastAsia"/>
                <w:noProof/>
                <w:lang w:val="hr-HR" w:eastAsia="hr-HR"/>
              </w:rPr>
              <w:tab/>
            </w:r>
            <w:r w:rsidR="007F181C" w:rsidRPr="00844828">
              <w:rPr>
                <w:rStyle w:val="Hyperlink"/>
                <w:noProof/>
                <w:lang w:val="hr-HR"/>
              </w:rPr>
              <w:t>KREDITNI REJTING REPUBLIKE HRVATSKE</w:t>
            </w:r>
            <w:r w:rsidR="007F181C">
              <w:rPr>
                <w:noProof/>
                <w:webHidden/>
              </w:rPr>
              <w:tab/>
            </w:r>
            <w:r w:rsidR="007F181C">
              <w:rPr>
                <w:noProof/>
                <w:webHidden/>
              </w:rPr>
              <w:fldChar w:fldCharType="begin"/>
            </w:r>
            <w:r w:rsidR="007F181C">
              <w:rPr>
                <w:noProof/>
                <w:webHidden/>
              </w:rPr>
              <w:instrText xml:space="preserve"> PAGEREF _Toc10032431 \h </w:instrText>
            </w:r>
            <w:r w:rsidR="007F181C">
              <w:rPr>
                <w:noProof/>
                <w:webHidden/>
              </w:rPr>
            </w:r>
            <w:r w:rsidR="007F181C">
              <w:rPr>
                <w:noProof/>
                <w:webHidden/>
              </w:rPr>
              <w:fldChar w:fldCharType="separate"/>
            </w:r>
            <w:r w:rsidR="007F181C">
              <w:rPr>
                <w:noProof/>
                <w:webHidden/>
              </w:rPr>
              <w:t>28</w:t>
            </w:r>
            <w:r w:rsidR="007F181C">
              <w:rPr>
                <w:noProof/>
                <w:webHidden/>
              </w:rPr>
              <w:fldChar w:fldCharType="end"/>
            </w:r>
          </w:hyperlink>
        </w:p>
        <w:p w14:paraId="01C880AB" w14:textId="77777777" w:rsidR="007F181C" w:rsidRDefault="006D348B">
          <w:pPr>
            <w:pStyle w:val="TOC1"/>
            <w:rPr>
              <w:rFonts w:eastAsiaTheme="minorEastAsia"/>
              <w:noProof/>
              <w:lang w:val="hr-HR" w:eastAsia="hr-HR"/>
            </w:rPr>
          </w:pPr>
          <w:hyperlink w:anchor="_Toc10032432" w:history="1">
            <w:r w:rsidR="007F181C" w:rsidRPr="00844828">
              <w:rPr>
                <w:rStyle w:val="Hyperlink"/>
                <w:noProof/>
                <w:lang w:val="hr-HR"/>
              </w:rPr>
              <w:t>8.</w:t>
            </w:r>
            <w:r w:rsidR="007F181C">
              <w:rPr>
                <w:rFonts w:eastAsiaTheme="minorEastAsia"/>
                <w:noProof/>
                <w:lang w:val="hr-HR" w:eastAsia="hr-HR"/>
              </w:rPr>
              <w:tab/>
            </w:r>
            <w:r w:rsidR="007F181C" w:rsidRPr="00844828">
              <w:rPr>
                <w:rStyle w:val="Hyperlink"/>
                <w:noProof/>
                <w:lang w:val="hr-HR"/>
              </w:rPr>
              <w:t>PROJEKCIJE KRETANJA JAVNOG DUGA U RAZDOBLJU 2019. - 2021.</w:t>
            </w:r>
            <w:r w:rsidR="007F181C">
              <w:rPr>
                <w:noProof/>
                <w:webHidden/>
              </w:rPr>
              <w:tab/>
            </w:r>
            <w:r w:rsidR="007F181C">
              <w:rPr>
                <w:noProof/>
                <w:webHidden/>
              </w:rPr>
              <w:fldChar w:fldCharType="begin"/>
            </w:r>
            <w:r w:rsidR="007F181C">
              <w:rPr>
                <w:noProof/>
                <w:webHidden/>
              </w:rPr>
              <w:instrText xml:space="preserve"> PAGEREF _Toc10032432 \h </w:instrText>
            </w:r>
            <w:r w:rsidR="007F181C">
              <w:rPr>
                <w:noProof/>
                <w:webHidden/>
              </w:rPr>
            </w:r>
            <w:r w:rsidR="007F181C">
              <w:rPr>
                <w:noProof/>
                <w:webHidden/>
              </w:rPr>
              <w:fldChar w:fldCharType="separate"/>
            </w:r>
            <w:r w:rsidR="007F181C">
              <w:rPr>
                <w:noProof/>
                <w:webHidden/>
              </w:rPr>
              <w:t>30</w:t>
            </w:r>
            <w:r w:rsidR="007F181C">
              <w:rPr>
                <w:noProof/>
                <w:webHidden/>
              </w:rPr>
              <w:fldChar w:fldCharType="end"/>
            </w:r>
          </w:hyperlink>
        </w:p>
        <w:p w14:paraId="03FCE0DD" w14:textId="77777777" w:rsidR="007F181C" w:rsidRDefault="006D348B">
          <w:pPr>
            <w:pStyle w:val="TOC1"/>
            <w:rPr>
              <w:rFonts w:eastAsiaTheme="minorEastAsia"/>
              <w:noProof/>
              <w:lang w:val="hr-HR" w:eastAsia="hr-HR"/>
            </w:rPr>
          </w:pPr>
          <w:hyperlink w:anchor="_Toc10032433" w:history="1">
            <w:r w:rsidR="007F181C" w:rsidRPr="00844828">
              <w:rPr>
                <w:rStyle w:val="Hyperlink"/>
                <w:noProof/>
                <w:lang w:val="hr-HR"/>
              </w:rPr>
              <w:t>9.</w:t>
            </w:r>
            <w:r w:rsidR="007F181C">
              <w:rPr>
                <w:rFonts w:eastAsiaTheme="minorEastAsia"/>
                <w:noProof/>
                <w:lang w:val="hr-HR" w:eastAsia="hr-HR"/>
              </w:rPr>
              <w:tab/>
            </w:r>
            <w:r w:rsidR="007F181C" w:rsidRPr="00844828">
              <w:rPr>
                <w:rStyle w:val="Hyperlink"/>
                <w:noProof/>
                <w:lang w:val="hr-HR"/>
              </w:rPr>
              <w:t>OSNOVNI CILJEVI I SMJERNICE UPRAVLJANJA JAVNIM DUGOM U RAZDOBLJU 2019. – 2021.</w:t>
            </w:r>
            <w:r w:rsidR="007F181C">
              <w:rPr>
                <w:noProof/>
                <w:webHidden/>
              </w:rPr>
              <w:tab/>
            </w:r>
            <w:r w:rsidR="007F181C">
              <w:rPr>
                <w:noProof/>
                <w:webHidden/>
              </w:rPr>
              <w:fldChar w:fldCharType="begin"/>
            </w:r>
            <w:r w:rsidR="007F181C">
              <w:rPr>
                <w:noProof/>
                <w:webHidden/>
              </w:rPr>
              <w:instrText xml:space="preserve"> PAGEREF _Toc10032433 \h </w:instrText>
            </w:r>
            <w:r w:rsidR="007F181C">
              <w:rPr>
                <w:noProof/>
                <w:webHidden/>
              </w:rPr>
            </w:r>
            <w:r w:rsidR="007F181C">
              <w:rPr>
                <w:noProof/>
                <w:webHidden/>
              </w:rPr>
              <w:fldChar w:fldCharType="separate"/>
            </w:r>
            <w:r w:rsidR="007F181C">
              <w:rPr>
                <w:noProof/>
                <w:webHidden/>
              </w:rPr>
              <w:t>32</w:t>
            </w:r>
            <w:r w:rsidR="007F181C">
              <w:rPr>
                <w:noProof/>
                <w:webHidden/>
              </w:rPr>
              <w:fldChar w:fldCharType="end"/>
            </w:r>
          </w:hyperlink>
        </w:p>
        <w:p w14:paraId="174B2F5E" w14:textId="77777777" w:rsidR="007F181C" w:rsidRDefault="006D348B">
          <w:pPr>
            <w:pStyle w:val="TOC2"/>
            <w:rPr>
              <w:rFonts w:eastAsiaTheme="minorEastAsia"/>
              <w:noProof/>
              <w:lang w:val="hr-HR" w:eastAsia="hr-HR"/>
            </w:rPr>
          </w:pPr>
          <w:hyperlink w:anchor="_Toc10032434" w:history="1">
            <w:r w:rsidR="007F181C" w:rsidRPr="00844828">
              <w:rPr>
                <w:rStyle w:val="Hyperlink"/>
                <w:noProof/>
                <w:lang w:val="hr-HR"/>
              </w:rPr>
              <w:t>9.1.</w:t>
            </w:r>
            <w:r w:rsidR="007F181C">
              <w:rPr>
                <w:rFonts w:eastAsiaTheme="minorEastAsia"/>
                <w:noProof/>
                <w:lang w:val="hr-HR" w:eastAsia="hr-HR"/>
              </w:rPr>
              <w:tab/>
            </w:r>
            <w:r w:rsidR="007F181C" w:rsidRPr="00844828">
              <w:rPr>
                <w:rStyle w:val="Hyperlink"/>
                <w:noProof/>
                <w:lang w:val="hr-HR"/>
              </w:rPr>
              <w:t>Jačanje pravnog i institucionalnog okvira upravljanja javnim dugom</w:t>
            </w:r>
            <w:r w:rsidR="007F181C">
              <w:rPr>
                <w:noProof/>
                <w:webHidden/>
              </w:rPr>
              <w:tab/>
            </w:r>
            <w:r w:rsidR="007F181C">
              <w:rPr>
                <w:noProof/>
                <w:webHidden/>
              </w:rPr>
              <w:fldChar w:fldCharType="begin"/>
            </w:r>
            <w:r w:rsidR="007F181C">
              <w:rPr>
                <w:noProof/>
                <w:webHidden/>
              </w:rPr>
              <w:instrText xml:space="preserve"> PAGEREF _Toc10032434 \h </w:instrText>
            </w:r>
            <w:r w:rsidR="007F181C">
              <w:rPr>
                <w:noProof/>
                <w:webHidden/>
              </w:rPr>
            </w:r>
            <w:r w:rsidR="007F181C">
              <w:rPr>
                <w:noProof/>
                <w:webHidden/>
              </w:rPr>
              <w:fldChar w:fldCharType="separate"/>
            </w:r>
            <w:r w:rsidR="007F181C">
              <w:rPr>
                <w:noProof/>
                <w:webHidden/>
              </w:rPr>
              <w:t>33</w:t>
            </w:r>
            <w:r w:rsidR="007F181C">
              <w:rPr>
                <w:noProof/>
                <w:webHidden/>
              </w:rPr>
              <w:fldChar w:fldCharType="end"/>
            </w:r>
          </w:hyperlink>
        </w:p>
        <w:p w14:paraId="3A64F2A5" w14:textId="77777777" w:rsidR="007F181C" w:rsidRDefault="006D348B">
          <w:pPr>
            <w:pStyle w:val="TOC2"/>
            <w:rPr>
              <w:rFonts w:eastAsiaTheme="minorEastAsia"/>
              <w:noProof/>
              <w:lang w:val="hr-HR" w:eastAsia="hr-HR"/>
            </w:rPr>
          </w:pPr>
          <w:hyperlink w:anchor="_Toc10032435" w:history="1">
            <w:r w:rsidR="007F181C" w:rsidRPr="00844828">
              <w:rPr>
                <w:rStyle w:val="Hyperlink"/>
                <w:noProof/>
                <w:lang w:val="hr-HR"/>
              </w:rPr>
              <w:t>9.2.</w:t>
            </w:r>
            <w:r w:rsidR="007F181C">
              <w:rPr>
                <w:rFonts w:eastAsiaTheme="minorEastAsia"/>
                <w:noProof/>
                <w:lang w:val="hr-HR" w:eastAsia="hr-HR"/>
              </w:rPr>
              <w:tab/>
            </w:r>
            <w:r w:rsidR="007F181C" w:rsidRPr="00844828">
              <w:rPr>
                <w:rStyle w:val="Hyperlink"/>
                <w:noProof/>
                <w:lang w:val="hr-HR"/>
              </w:rPr>
              <w:t>Ublažavanje rizika refinanciranja i smanjenja udjela kratkoročnog duga u ukupnom javnom dugu</w:t>
            </w:r>
            <w:r w:rsidR="007F181C">
              <w:rPr>
                <w:noProof/>
                <w:webHidden/>
              </w:rPr>
              <w:tab/>
            </w:r>
            <w:r w:rsidR="007F181C">
              <w:rPr>
                <w:noProof/>
                <w:webHidden/>
              </w:rPr>
              <w:fldChar w:fldCharType="begin"/>
            </w:r>
            <w:r w:rsidR="007F181C">
              <w:rPr>
                <w:noProof/>
                <w:webHidden/>
              </w:rPr>
              <w:instrText xml:space="preserve"> PAGEREF _Toc10032435 \h </w:instrText>
            </w:r>
            <w:r w:rsidR="007F181C">
              <w:rPr>
                <w:noProof/>
                <w:webHidden/>
              </w:rPr>
            </w:r>
            <w:r w:rsidR="007F181C">
              <w:rPr>
                <w:noProof/>
                <w:webHidden/>
              </w:rPr>
              <w:fldChar w:fldCharType="separate"/>
            </w:r>
            <w:r w:rsidR="007F181C">
              <w:rPr>
                <w:noProof/>
                <w:webHidden/>
              </w:rPr>
              <w:t>35</w:t>
            </w:r>
            <w:r w:rsidR="007F181C">
              <w:rPr>
                <w:noProof/>
                <w:webHidden/>
              </w:rPr>
              <w:fldChar w:fldCharType="end"/>
            </w:r>
          </w:hyperlink>
        </w:p>
        <w:p w14:paraId="4DBD75CD" w14:textId="77777777" w:rsidR="007F181C" w:rsidRDefault="006D348B">
          <w:pPr>
            <w:pStyle w:val="TOC2"/>
            <w:rPr>
              <w:rFonts w:eastAsiaTheme="minorEastAsia"/>
              <w:noProof/>
              <w:lang w:val="hr-HR" w:eastAsia="hr-HR"/>
            </w:rPr>
          </w:pPr>
          <w:hyperlink w:anchor="_Toc10032436" w:history="1">
            <w:r w:rsidR="007F181C" w:rsidRPr="00844828">
              <w:rPr>
                <w:rStyle w:val="Hyperlink"/>
                <w:noProof/>
                <w:lang w:val="hr-HR"/>
              </w:rPr>
              <w:t>9.3.</w:t>
            </w:r>
            <w:r w:rsidR="007F181C">
              <w:rPr>
                <w:rFonts w:eastAsiaTheme="minorEastAsia"/>
                <w:noProof/>
                <w:lang w:val="hr-HR" w:eastAsia="hr-HR"/>
              </w:rPr>
              <w:tab/>
            </w:r>
            <w:r w:rsidR="007F181C" w:rsidRPr="00844828">
              <w:rPr>
                <w:rStyle w:val="Hyperlink"/>
                <w:noProof/>
                <w:lang w:val="hr-HR"/>
              </w:rPr>
              <w:t>Ublažavanje valutnog rizika javnog duga</w:t>
            </w:r>
            <w:r w:rsidR="007F181C">
              <w:rPr>
                <w:noProof/>
                <w:webHidden/>
              </w:rPr>
              <w:tab/>
            </w:r>
            <w:r w:rsidR="007F181C">
              <w:rPr>
                <w:noProof/>
                <w:webHidden/>
              </w:rPr>
              <w:fldChar w:fldCharType="begin"/>
            </w:r>
            <w:r w:rsidR="007F181C">
              <w:rPr>
                <w:noProof/>
                <w:webHidden/>
              </w:rPr>
              <w:instrText xml:space="preserve"> PAGEREF _Toc10032436 \h </w:instrText>
            </w:r>
            <w:r w:rsidR="007F181C">
              <w:rPr>
                <w:noProof/>
                <w:webHidden/>
              </w:rPr>
            </w:r>
            <w:r w:rsidR="007F181C">
              <w:rPr>
                <w:noProof/>
                <w:webHidden/>
              </w:rPr>
              <w:fldChar w:fldCharType="separate"/>
            </w:r>
            <w:r w:rsidR="007F181C">
              <w:rPr>
                <w:noProof/>
                <w:webHidden/>
              </w:rPr>
              <w:t>35</w:t>
            </w:r>
            <w:r w:rsidR="007F181C">
              <w:rPr>
                <w:noProof/>
                <w:webHidden/>
              </w:rPr>
              <w:fldChar w:fldCharType="end"/>
            </w:r>
          </w:hyperlink>
        </w:p>
        <w:p w14:paraId="785D1123" w14:textId="77777777" w:rsidR="007F181C" w:rsidRDefault="006D348B">
          <w:pPr>
            <w:pStyle w:val="TOC2"/>
            <w:rPr>
              <w:rFonts w:eastAsiaTheme="minorEastAsia"/>
              <w:noProof/>
              <w:lang w:val="hr-HR" w:eastAsia="hr-HR"/>
            </w:rPr>
          </w:pPr>
          <w:hyperlink w:anchor="_Toc10032437" w:history="1">
            <w:r w:rsidR="007F181C" w:rsidRPr="00844828">
              <w:rPr>
                <w:rStyle w:val="Hyperlink"/>
                <w:noProof/>
                <w:lang w:val="hr-HR"/>
              </w:rPr>
              <w:t>9.4.</w:t>
            </w:r>
            <w:r w:rsidR="007F181C">
              <w:rPr>
                <w:rFonts w:eastAsiaTheme="minorEastAsia"/>
                <w:noProof/>
                <w:lang w:val="hr-HR" w:eastAsia="hr-HR"/>
              </w:rPr>
              <w:tab/>
            </w:r>
            <w:r w:rsidR="007F181C" w:rsidRPr="00844828">
              <w:rPr>
                <w:rStyle w:val="Hyperlink"/>
                <w:noProof/>
                <w:lang w:val="hr-HR"/>
              </w:rPr>
              <w:t>Ublažavanje kamatnog rizika javnog duga</w:t>
            </w:r>
            <w:r w:rsidR="007F181C">
              <w:rPr>
                <w:noProof/>
                <w:webHidden/>
              </w:rPr>
              <w:tab/>
            </w:r>
            <w:r w:rsidR="007F181C">
              <w:rPr>
                <w:noProof/>
                <w:webHidden/>
              </w:rPr>
              <w:fldChar w:fldCharType="begin"/>
            </w:r>
            <w:r w:rsidR="007F181C">
              <w:rPr>
                <w:noProof/>
                <w:webHidden/>
              </w:rPr>
              <w:instrText xml:space="preserve"> PAGEREF _Toc10032437 \h </w:instrText>
            </w:r>
            <w:r w:rsidR="007F181C">
              <w:rPr>
                <w:noProof/>
                <w:webHidden/>
              </w:rPr>
            </w:r>
            <w:r w:rsidR="007F181C">
              <w:rPr>
                <w:noProof/>
                <w:webHidden/>
              </w:rPr>
              <w:fldChar w:fldCharType="separate"/>
            </w:r>
            <w:r w:rsidR="007F181C">
              <w:rPr>
                <w:noProof/>
                <w:webHidden/>
              </w:rPr>
              <w:t>36</w:t>
            </w:r>
            <w:r w:rsidR="007F181C">
              <w:rPr>
                <w:noProof/>
                <w:webHidden/>
              </w:rPr>
              <w:fldChar w:fldCharType="end"/>
            </w:r>
          </w:hyperlink>
        </w:p>
        <w:p w14:paraId="2567597D" w14:textId="77777777" w:rsidR="007F181C" w:rsidRDefault="006D348B">
          <w:pPr>
            <w:pStyle w:val="TOC2"/>
            <w:rPr>
              <w:rFonts w:eastAsiaTheme="minorEastAsia"/>
              <w:noProof/>
              <w:lang w:val="hr-HR" w:eastAsia="hr-HR"/>
            </w:rPr>
          </w:pPr>
          <w:hyperlink w:anchor="_Toc10032438" w:history="1">
            <w:r w:rsidR="007F181C" w:rsidRPr="00844828">
              <w:rPr>
                <w:rStyle w:val="Hyperlink"/>
                <w:noProof/>
                <w:lang w:val="hr-HR"/>
              </w:rPr>
              <w:t>9.5.</w:t>
            </w:r>
            <w:r w:rsidR="007F181C">
              <w:rPr>
                <w:rFonts w:eastAsiaTheme="minorEastAsia"/>
                <w:noProof/>
                <w:lang w:val="hr-HR" w:eastAsia="hr-HR"/>
              </w:rPr>
              <w:tab/>
            </w:r>
            <w:r w:rsidR="007F181C" w:rsidRPr="00844828">
              <w:rPr>
                <w:rStyle w:val="Hyperlink"/>
                <w:noProof/>
                <w:lang w:val="hr-HR"/>
              </w:rPr>
              <w:t>Povećanje transparentnosti javnog duga i zaduživanja</w:t>
            </w:r>
            <w:r w:rsidR="007F181C">
              <w:rPr>
                <w:noProof/>
                <w:webHidden/>
              </w:rPr>
              <w:tab/>
            </w:r>
            <w:r w:rsidR="007F181C">
              <w:rPr>
                <w:noProof/>
                <w:webHidden/>
              </w:rPr>
              <w:fldChar w:fldCharType="begin"/>
            </w:r>
            <w:r w:rsidR="007F181C">
              <w:rPr>
                <w:noProof/>
                <w:webHidden/>
              </w:rPr>
              <w:instrText xml:space="preserve"> PAGEREF _Toc10032438 \h </w:instrText>
            </w:r>
            <w:r w:rsidR="007F181C">
              <w:rPr>
                <w:noProof/>
                <w:webHidden/>
              </w:rPr>
            </w:r>
            <w:r w:rsidR="007F181C">
              <w:rPr>
                <w:noProof/>
                <w:webHidden/>
              </w:rPr>
              <w:fldChar w:fldCharType="separate"/>
            </w:r>
            <w:r w:rsidR="007F181C">
              <w:rPr>
                <w:noProof/>
                <w:webHidden/>
              </w:rPr>
              <w:t>36</w:t>
            </w:r>
            <w:r w:rsidR="007F181C">
              <w:rPr>
                <w:noProof/>
                <w:webHidden/>
              </w:rPr>
              <w:fldChar w:fldCharType="end"/>
            </w:r>
          </w:hyperlink>
        </w:p>
        <w:p w14:paraId="08E0C7F0" w14:textId="77777777" w:rsidR="007F181C" w:rsidRDefault="006D348B">
          <w:pPr>
            <w:pStyle w:val="TOC1"/>
            <w:rPr>
              <w:rFonts w:eastAsiaTheme="minorEastAsia"/>
              <w:noProof/>
              <w:lang w:val="hr-HR" w:eastAsia="hr-HR"/>
            </w:rPr>
          </w:pPr>
          <w:hyperlink w:anchor="_Toc10032439" w:history="1">
            <w:r w:rsidR="007F181C" w:rsidRPr="00844828">
              <w:rPr>
                <w:rStyle w:val="Hyperlink"/>
                <w:noProof/>
                <w:lang w:val="hr-HR"/>
              </w:rPr>
              <w:t>10.</w:t>
            </w:r>
            <w:r w:rsidR="007F181C">
              <w:rPr>
                <w:rFonts w:eastAsiaTheme="minorEastAsia"/>
                <w:noProof/>
                <w:lang w:val="hr-HR" w:eastAsia="hr-HR"/>
              </w:rPr>
              <w:tab/>
            </w:r>
            <w:r w:rsidR="007F181C" w:rsidRPr="00844828">
              <w:rPr>
                <w:rStyle w:val="Hyperlink"/>
                <w:noProof/>
                <w:lang w:val="hr-HR"/>
              </w:rPr>
              <w:t>FISKALNI RIZICI I TESTOVI OSJETLJIVOSTI KRETANJA JAVNOG DUGA</w:t>
            </w:r>
            <w:r w:rsidR="007F181C">
              <w:rPr>
                <w:noProof/>
                <w:webHidden/>
              </w:rPr>
              <w:tab/>
            </w:r>
            <w:r w:rsidR="007F181C">
              <w:rPr>
                <w:noProof/>
                <w:webHidden/>
              </w:rPr>
              <w:fldChar w:fldCharType="begin"/>
            </w:r>
            <w:r w:rsidR="007F181C">
              <w:rPr>
                <w:noProof/>
                <w:webHidden/>
              </w:rPr>
              <w:instrText xml:space="preserve"> PAGEREF _Toc10032439 \h </w:instrText>
            </w:r>
            <w:r w:rsidR="007F181C">
              <w:rPr>
                <w:noProof/>
                <w:webHidden/>
              </w:rPr>
            </w:r>
            <w:r w:rsidR="007F181C">
              <w:rPr>
                <w:noProof/>
                <w:webHidden/>
              </w:rPr>
              <w:fldChar w:fldCharType="separate"/>
            </w:r>
            <w:r w:rsidR="007F181C">
              <w:rPr>
                <w:noProof/>
                <w:webHidden/>
              </w:rPr>
              <w:t>43</w:t>
            </w:r>
            <w:r w:rsidR="007F181C">
              <w:rPr>
                <w:noProof/>
                <w:webHidden/>
              </w:rPr>
              <w:fldChar w:fldCharType="end"/>
            </w:r>
          </w:hyperlink>
        </w:p>
        <w:p w14:paraId="772DD36C" w14:textId="77777777" w:rsidR="008911F8" w:rsidRPr="002D5C87" w:rsidRDefault="008911F8">
          <w:pPr>
            <w:rPr>
              <w:lang w:val="hr-HR"/>
            </w:rPr>
          </w:pPr>
          <w:r w:rsidRPr="002D5C87">
            <w:rPr>
              <w:b/>
              <w:bCs/>
              <w:lang w:val="hr-HR"/>
            </w:rPr>
            <w:fldChar w:fldCharType="end"/>
          </w:r>
        </w:p>
      </w:sdtContent>
    </w:sdt>
    <w:p w14:paraId="3414CD26" w14:textId="77777777" w:rsidR="002B3ABB" w:rsidRPr="002D5C87" w:rsidRDefault="002B3ABB" w:rsidP="0035474D">
      <w:pPr>
        <w:spacing w:line="276" w:lineRule="auto"/>
        <w:jc w:val="center"/>
        <w:rPr>
          <w:b/>
          <w:sz w:val="28"/>
          <w:lang w:val="hr-HR"/>
        </w:rPr>
      </w:pPr>
      <w:r w:rsidRPr="002D5C87">
        <w:rPr>
          <w:b/>
          <w:sz w:val="28"/>
          <w:lang w:val="hr-HR"/>
        </w:rPr>
        <w:br w:type="page"/>
      </w:r>
    </w:p>
    <w:p w14:paraId="1D0EE879" w14:textId="77777777" w:rsidR="004F6B28" w:rsidRPr="008A69AA" w:rsidRDefault="004F6B28" w:rsidP="0035474D">
      <w:pPr>
        <w:pStyle w:val="TOCHeading"/>
        <w:spacing w:line="276" w:lineRule="auto"/>
        <w:rPr>
          <w:lang w:val="hr-HR"/>
        </w:rPr>
      </w:pPr>
      <w:r w:rsidRPr="008A69AA">
        <w:rPr>
          <w:lang w:val="hr-HR"/>
        </w:rPr>
        <w:lastRenderedPageBreak/>
        <w:t>Popis tablica</w:t>
      </w:r>
    </w:p>
    <w:p w14:paraId="5FF9303D" w14:textId="77777777" w:rsidR="00F571B5" w:rsidRPr="00025326" w:rsidRDefault="00F571B5" w:rsidP="00F571B5">
      <w:pPr>
        <w:rPr>
          <w:sz w:val="14"/>
          <w:highlight w:val="yellow"/>
          <w:lang w:val="hr-HR" w:eastAsia="ja-JP"/>
        </w:rPr>
      </w:pPr>
    </w:p>
    <w:p w14:paraId="21E733E1" w14:textId="77777777" w:rsidR="007F181C" w:rsidRDefault="004F6B28">
      <w:pPr>
        <w:pStyle w:val="TableofFigures"/>
        <w:tabs>
          <w:tab w:val="right" w:leader="dot" w:pos="9062"/>
        </w:tabs>
        <w:rPr>
          <w:rFonts w:eastAsiaTheme="minorEastAsia"/>
          <w:noProof/>
          <w:lang w:val="hr-HR" w:eastAsia="hr-HR"/>
        </w:rPr>
      </w:pPr>
      <w:r w:rsidRPr="002D5C87">
        <w:rPr>
          <w:b/>
          <w:sz w:val="28"/>
          <w:lang w:val="hr-HR"/>
        </w:rPr>
        <w:fldChar w:fldCharType="begin"/>
      </w:r>
      <w:r w:rsidRPr="002D5C87">
        <w:rPr>
          <w:b/>
          <w:sz w:val="28"/>
          <w:lang w:val="hr-HR"/>
        </w:rPr>
        <w:instrText xml:space="preserve"> TOC \h \z \c "Tablica" </w:instrText>
      </w:r>
      <w:r w:rsidRPr="002D5C87">
        <w:rPr>
          <w:b/>
          <w:sz w:val="28"/>
          <w:lang w:val="hr-HR"/>
        </w:rPr>
        <w:fldChar w:fldCharType="separate"/>
      </w:r>
      <w:hyperlink w:anchor="_Toc10032445" w:history="1">
        <w:r w:rsidR="007F181C" w:rsidRPr="00291C64">
          <w:rPr>
            <w:rStyle w:val="Hyperlink"/>
            <w:i/>
            <w:noProof/>
            <w:lang w:val="hr-HR"/>
          </w:rPr>
          <w:t>Tablica 1: Struktura javnog duga u razdoblju 2014. - 2018.</w:t>
        </w:r>
        <w:r w:rsidR="007F181C">
          <w:rPr>
            <w:noProof/>
            <w:webHidden/>
          </w:rPr>
          <w:tab/>
        </w:r>
        <w:r w:rsidR="007F181C">
          <w:rPr>
            <w:noProof/>
            <w:webHidden/>
          </w:rPr>
          <w:fldChar w:fldCharType="begin"/>
        </w:r>
        <w:r w:rsidR="007F181C">
          <w:rPr>
            <w:noProof/>
            <w:webHidden/>
          </w:rPr>
          <w:instrText xml:space="preserve"> PAGEREF _Toc10032445 \h </w:instrText>
        </w:r>
        <w:r w:rsidR="007F181C">
          <w:rPr>
            <w:noProof/>
            <w:webHidden/>
          </w:rPr>
        </w:r>
        <w:r w:rsidR="007F181C">
          <w:rPr>
            <w:noProof/>
            <w:webHidden/>
          </w:rPr>
          <w:fldChar w:fldCharType="separate"/>
        </w:r>
        <w:r w:rsidR="007F181C">
          <w:rPr>
            <w:noProof/>
            <w:webHidden/>
          </w:rPr>
          <w:t>10</w:t>
        </w:r>
        <w:r w:rsidR="007F181C">
          <w:rPr>
            <w:noProof/>
            <w:webHidden/>
          </w:rPr>
          <w:fldChar w:fldCharType="end"/>
        </w:r>
      </w:hyperlink>
    </w:p>
    <w:p w14:paraId="3DBE0373" w14:textId="77777777" w:rsidR="007F181C" w:rsidRDefault="006D348B">
      <w:pPr>
        <w:pStyle w:val="TableofFigures"/>
        <w:tabs>
          <w:tab w:val="right" w:leader="dot" w:pos="9062"/>
        </w:tabs>
        <w:rPr>
          <w:rFonts w:eastAsiaTheme="minorEastAsia"/>
          <w:noProof/>
          <w:lang w:val="hr-HR" w:eastAsia="hr-HR"/>
        </w:rPr>
      </w:pPr>
      <w:hyperlink w:anchor="_Toc10032446" w:history="1">
        <w:r w:rsidR="007F181C" w:rsidRPr="00291C64">
          <w:rPr>
            <w:rStyle w:val="Hyperlink"/>
            <w:i/>
            <w:noProof/>
            <w:lang w:val="hr-HR"/>
          </w:rPr>
          <w:t>Tablica 2: Državni dug prema vrsti instrumenata</w:t>
        </w:r>
        <w:r w:rsidR="007F181C">
          <w:rPr>
            <w:noProof/>
            <w:webHidden/>
          </w:rPr>
          <w:tab/>
        </w:r>
        <w:r w:rsidR="007F181C">
          <w:rPr>
            <w:noProof/>
            <w:webHidden/>
          </w:rPr>
          <w:fldChar w:fldCharType="begin"/>
        </w:r>
        <w:r w:rsidR="007F181C">
          <w:rPr>
            <w:noProof/>
            <w:webHidden/>
          </w:rPr>
          <w:instrText xml:space="preserve"> PAGEREF _Toc10032446 \h </w:instrText>
        </w:r>
        <w:r w:rsidR="007F181C">
          <w:rPr>
            <w:noProof/>
            <w:webHidden/>
          </w:rPr>
        </w:r>
        <w:r w:rsidR="007F181C">
          <w:rPr>
            <w:noProof/>
            <w:webHidden/>
          </w:rPr>
          <w:fldChar w:fldCharType="separate"/>
        </w:r>
        <w:r w:rsidR="007F181C">
          <w:rPr>
            <w:noProof/>
            <w:webHidden/>
          </w:rPr>
          <w:t>19</w:t>
        </w:r>
        <w:r w:rsidR="007F181C">
          <w:rPr>
            <w:noProof/>
            <w:webHidden/>
          </w:rPr>
          <w:fldChar w:fldCharType="end"/>
        </w:r>
      </w:hyperlink>
    </w:p>
    <w:p w14:paraId="3D971BE8" w14:textId="77777777" w:rsidR="007F181C" w:rsidRDefault="006D348B">
      <w:pPr>
        <w:pStyle w:val="TableofFigures"/>
        <w:tabs>
          <w:tab w:val="right" w:leader="dot" w:pos="9062"/>
        </w:tabs>
        <w:rPr>
          <w:rFonts w:eastAsiaTheme="minorEastAsia"/>
          <w:noProof/>
          <w:lang w:val="hr-HR" w:eastAsia="hr-HR"/>
        </w:rPr>
      </w:pPr>
      <w:hyperlink w:anchor="_Toc10032447" w:history="1">
        <w:r w:rsidR="007F181C" w:rsidRPr="00291C64">
          <w:rPr>
            <w:rStyle w:val="Hyperlink"/>
            <w:i/>
            <w:noProof/>
            <w:lang w:val="hr-HR"/>
          </w:rPr>
          <w:t>Tablica 3: Projekcije makroekonomskih pokazatelja Republike Hrvatske</w:t>
        </w:r>
        <w:r w:rsidR="007F181C">
          <w:rPr>
            <w:noProof/>
            <w:webHidden/>
          </w:rPr>
          <w:tab/>
        </w:r>
        <w:r w:rsidR="007F181C">
          <w:rPr>
            <w:noProof/>
            <w:webHidden/>
          </w:rPr>
          <w:fldChar w:fldCharType="begin"/>
        </w:r>
        <w:r w:rsidR="007F181C">
          <w:rPr>
            <w:noProof/>
            <w:webHidden/>
          </w:rPr>
          <w:instrText xml:space="preserve"> PAGEREF _Toc10032447 \h </w:instrText>
        </w:r>
        <w:r w:rsidR="007F181C">
          <w:rPr>
            <w:noProof/>
            <w:webHidden/>
          </w:rPr>
        </w:r>
        <w:r w:rsidR="007F181C">
          <w:rPr>
            <w:noProof/>
            <w:webHidden/>
          </w:rPr>
          <w:fldChar w:fldCharType="separate"/>
        </w:r>
        <w:r w:rsidR="007F181C">
          <w:rPr>
            <w:noProof/>
            <w:webHidden/>
          </w:rPr>
          <w:t>23</w:t>
        </w:r>
        <w:r w:rsidR="007F181C">
          <w:rPr>
            <w:noProof/>
            <w:webHidden/>
          </w:rPr>
          <w:fldChar w:fldCharType="end"/>
        </w:r>
      </w:hyperlink>
    </w:p>
    <w:p w14:paraId="691677E8" w14:textId="77777777" w:rsidR="007F181C" w:rsidRDefault="006D348B">
      <w:pPr>
        <w:pStyle w:val="TableofFigures"/>
        <w:tabs>
          <w:tab w:val="right" w:leader="dot" w:pos="9062"/>
        </w:tabs>
        <w:rPr>
          <w:rFonts w:eastAsiaTheme="minorEastAsia"/>
          <w:noProof/>
          <w:lang w:val="hr-HR" w:eastAsia="hr-HR"/>
        </w:rPr>
      </w:pPr>
      <w:hyperlink w:anchor="_Toc10032448" w:history="1">
        <w:r w:rsidR="007F181C" w:rsidRPr="00291C64">
          <w:rPr>
            <w:rStyle w:val="Hyperlink"/>
            <w:i/>
            <w:noProof/>
            <w:lang w:val="hr-HR"/>
          </w:rPr>
          <w:t>Tablica 4: Usporedba kreditnih ocjena zemalja Europske unije</w:t>
        </w:r>
        <w:r w:rsidR="007F181C">
          <w:rPr>
            <w:noProof/>
            <w:webHidden/>
          </w:rPr>
          <w:tab/>
        </w:r>
        <w:r w:rsidR="007F181C">
          <w:rPr>
            <w:noProof/>
            <w:webHidden/>
          </w:rPr>
          <w:fldChar w:fldCharType="begin"/>
        </w:r>
        <w:r w:rsidR="007F181C">
          <w:rPr>
            <w:noProof/>
            <w:webHidden/>
          </w:rPr>
          <w:instrText xml:space="preserve"> PAGEREF _Toc10032448 \h </w:instrText>
        </w:r>
        <w:r w:rsidR="007F181C">
          <w:rPr>
            <w:noProof/>
            <w:webHidden/>
          </w:rPr>
        </w:r>
        <w:r w:rsidR="007F181C">
          <w:rPr>
            <w:noProof/>
            <w:webHidden/>
          </w:rPr>
          <w:fldChar w:fldCharType="separate"/>
        </w:r>
        <w:r w:rsidR="007F181C">
          <w:rPr>
            <w:noProof/>
            <w:webHidden/>
          </w:rPr>
          <w:t>29</w:t>
        </w:r>
        <w:r w:rsidR="007F181C">
          <w:rPr>
            <w:noProof/>
            <w:webHidden/>
          </w:rPr>
          <w:fldChar w:fldCharType="end"/>
        </w:r>
      </w:hyperlink>
    </w:p>
    <w:p w14:paraId="1E02FD50" w14:textId="77777777" w:rsidR="007F181C" w:rsidRDefault="006D348B">
      <w:pPr>
        <w:pStyle w:val="TableofFigures"/>
        <w:tabs>
          <w:tab w:val="right" w:leader="dot" w:pos="9062"/>
        </w:tabs>
        <w:rPr>
          <w:rFonts w:eastAsiaTheme="minorEastAsia"/>
          <w:noProof/>
          <w:lang w:val="hr-HR" w:eastAsia="hr-HR"/>
        </w:rPr>
      </w:pPr>
      <w:hyperlink w:anchor="_Toc10032449" w:history="1">
        <w:r w:rsidR="007F181C" w:rsidRPr="00291C64">
          <w:rPr>
            <w:rStyle w:val="Hyperlink"/>
            <w:i/>
            <w:noProof/>
            <w:lang w:val="hr-HR"/>
          </w:rPr>
          <w:t>Tablica 5: Kalendar objava kreditnog rejtinga Republike Hrvatske u 2019. godini</w:t>
        </w:r>
        <w:r w:rsidR="007F181C">
          <w:rPr>
            <w:noProof/>
            <w:webHidden/>
          </w:rPr>
          <w:tab/>
        </w:r>
        <w:r w:rsidR="007F181C">
          <w:rPr>
            <w:noProof/>
            <w:webHidden/>
          </w:rPr>
          <w:fldChar w:fldCharType="begin"/>
        </w:r>
        <w:r w:rsidR="007F181C">
          <w:rPr>
            <w:noProof/>
            <w:webHidden/>
          </w:rPr>
          <w:instrText xml:space="preserve"> PAGEREF _Toc10032449 \h </w:instrText>
        </w:r>
        <w:r w:rsidR="007F181C">
          <w:rPr>
            <w:noProof/>
            <w:webHidden/>
          </w:rPr>
        </w:r>
        <w:r w:rsidR="007F181C">
          <w:rPr>
            <w:noProof/>
            <w:webHidden/>
          </w:rPr>
          <w:fldChar w:fldCharType="separate"/>
        </w:r>
        <w:r w:rsidR="007F181C">
          <w:rPr>
            <w:noProof/>
            <w:webHidden/>
          </w:rPr>
          <w:t>29</w:t>
        </w:r>
        <w:r w:rsidR="007F181C">
          <w:rPr>
            <w:noProof/>
            <w:webHidden/>
          </w:rPr>
          <w:fldChar w:fldCharType="end"/>
        </w:r>
      </w:hyperlink>
    </w:p>
    <w:p w14:paraId="73BCAD77" w14:textId="77777777" w:rsidR="007F181C" w:rsidRDefault="006D348B">
      <w:pPr>
        <w:pStyle w:val="TableofFigures"/>
        <w:tabs>
          <w:tab w:val="right" w:leader="dot" w:pos="9062"/>
        </w:tabs>
        <w:rPr>
          <w:rFonts w:eastAsiaTheme="minorEastAsia"/>
          <w:noProof/>
          <w:lang w:val="hr-HR" w:eastAsia="hr-HR"/>
        </w:rPr>
      </w:pPr>
      <w:hyperlink w:anchor="_Toc10032450" w:history="1">
        <w:r w:rsidR="007F181C" w:rsidRPr="00291C64">
          <w:rPr>
            <w:rStyle w:val="Hyperlink"/>
            <w:i/>
            <w:noProof/>
            <w:lang w:val="hr-HR"/>
          </w:rPr>
          <w:t>Tablica 6: Procjena ukupnog manjka/viška opće države, ESA 2010 metodologija</w:t>
        </w:r>
        <w:r w:rsidR="007F181C">
          <w:rPr>
            <w:noProof/>
            <w:webHidden/>
          </w:rPr>
          <w:tab/>
        </w:r>
        <w:r w:rsidR="007F181C">
          <w:rPr>
            <w:noProof/>
            <w:webHidden/>
          </w:rPr>
          <w:fldChar w:fldCharType="begin"/>
        </w:r>
        <w:r w:rsidR="007F181C">
          <w:rPr>
            <w:noProof/>
            <w:webHidden/>
          </w:rPr>
          <w:instrText xml:space="preserve"> PAGEREF _Toc10032450 \h </w:instrText>
        </w:r>
        <w:r w:rsidR="007F181C">
          <w:rPr>
            <w:noProof/>
            <w:webHidden/>
          </w:rPr>
        </w:r>
        <w:r w:rsidR="007F181C">
          <w:rPr>
            <w:noProof/>
            <w:webHidden/>
          </w:rPr>
          <w:fldChar w:fldCharType="separate"/>
        </w:r>
        <w:r w:rsidR="007F181C">
          <w:rPr>
            <w:noProof/>
            <w:webHidden/>
          </w:rPr>
          <w:t>31</w:t>
        </w:r>
        <w:r w:rsidR="007F181C">
          <w:rPr>
            <w:noProof/>
            <w:webHidden/>
          </w:rPr>
          <w:fldChar w:fldCharType="end"/>
        </w:r>
      </w:hyperlink>
    </w:p>
    <w:p w14:paraId="2857B268" w14:textId="77777777" w:rsidR="007F181C" w:rsidRDefault="006D348B">
      <w:pPr>
        <w:pStyle w:val="TableofFigures"/>
        <w:tabs>
          <w:tab w:val="right" w:leader="dot" w:pos="9062"/>
        </w:tabs>
        <w:rPr>
          <w:rFonts w:eastAsiaTheme="minorEastAsia"/>
          <w:noProof/>
          <w:lang w:val="hr-HR" w:eastAsia="hr-HR"/>
        </w:rPr>
      </w:pPr>
      <w:hyperlink w:anchor="_Toc10032451" w:history="1">
        <w:r w:rsidR="007F181C" w:rsidRPr="00291C64">
          <w:rPr>
            <w:rStyle w:val="Hyperlink"/>
            <w:i/>
            <w:noProof/>
            <w:lang w:val="hr-HR"/>
          </w:rPr>
          <w:t>Tablica 7: Račun financiranja državnog proračuna – obveze i izvori</w:t>
        </w:r>
        <w:r w:rsidR="007F181C">
          <w:rPr>
            <w:noProof/>
            <w:webHidden/>
          </w:rPr>
          <w:tab/>
        </w:r>
        <w:r w:rsidR="007F181C">
          <w:rPr>
            <w:noProof/>
            <w:webHidden/>
          </w:rPr>
          <w:fldChar w:fldCharType="begin"/>
        </w:r>
        <w:r w:rsidR="007F181C">
          <w:rPr>
            <w:noProof/>
            <w:webHidden/>
          </w:rPr>
          <w:instrText xml:space="preserve"> PAGEREF _Toc10032451 \h </w:instrText>
        </w:r>
        <w:r w:rsidR="007F181C">
          <w:rPr>
            <w:noProof/>
            <w:webHidden/>
          </w:rPr>
        </w:r>
        <w:r w:rsidR="007F181C">
          <w:rPr>
            <w:noProof/>
            <w:webHidden/>
          </w:rPr>
          <w:fldChar w:fldCharType="separate"/>
        </w:r>
        <w:r w:rsidR="007F181C">
          <w:rPr>
            <w:noProof/>
            <w:webHidden/>
          </w:rPr>
          <w:t>37</w:t>
        </w:r>
        <w:r w:rsidR="007F181C">
          <w:rPr>
            <w:noProof/>
            <w:webHidden/>
          </w:rPr>
          <w:fldChar w:fldCharType="end"/>
        </w:r>
      </w:hyperlink>
    </w:p>
    <w:p w14:paraId="47640324" w14:textId="77777777" w:rsidR="007F181C" w:rsidRDefault="006D348B">
      <w:pPr>
        <w:pStyle w:val="TableofFigures"/>
        <w:tabs>
          <w:tab w:val="right" w:leader="dot" w:pos="9062"/>
        </w:tabs>
        <w:rPr>
          <w:rFonts w:eastAsiaTheme="minorEastAsia"/>
          <w:noProof/>
          <w:lang w:val="hr-HR" w:eastAsia="hr-HR"/>
        </w:rPr>
      </w:pPr>
      <w:hyperlink w:anchor="_Toc10032452" w:history="1">
        <w:r w:rsidR="007F181C" w:rsidRPr="00291C64">
          <w:rPr>
            <w:rStyle w:val="Hyperlink"/>
            <w:i/>
            <w:noProof/>
            <w:lang w:val="hr-HR"/>
          </w:rPr>
          <w:t>Tablica 8: Kalendar izdavanja trezorskih zapisa u 2019. godini</w:t>
        </w:r>
        <w:r w:rsidR="007F181C">
          <w:rPr>
            <w:noProof/>
            <w:webHidden/>
          </w:rPr>
          <w:tab/>
        </w:r>
        <w:r w:rsidR="007F181C">
          <w:rPr>
            <w:noProof/>
            <w:webHidden/>
          </w:rPr>
          <w:fldChar w:fldCharType="begin"/>
        </w:r>
        <w:r w:rsidR="007F181C">
          <w:rPr>
            <w:noProof/>
            <w:webHidden/>
          </w:rPr>
          <w:instrText xml:space="preserve"> PAGEREF _Toc10032452 \h </w:instrText>
        </w:r>
        <w:r w:rsidR="007F181C">
          <w:rPr>
            <w:noProof/>
            <w:webHidden/>
          </w:rPr>
        </w:r>
        <w:r w:rsidR="007F181C">
          <w:rPr>
            <w:noProof/>
            <w:webHidden/>
          </w:rPr>
          <w:fldChar w:fldCharType="separate"/>
        </w:r>
        <w:r w:rsidR="007F181C">
          <w:rPr>
            <w:noProof/>
            <w:webHidden/>
          </w:rPr>
          <w:t>39</w:t>
        </w:r>
        <w:r w:rsidR="007F181C">
          <w:rPr>
            <w:noProof/>
            <w:webHidden/>
          </w:rPr>
          <w:fldChar w:fldCharType="end"/>
        </w:r>
      </w:hyperlink>
    </w:p>
    <w:p w14:paraId="62D9613B" w14:textId="77777777" w:rsidR="007F181C" w:rsidRDefault="006D348B">
      <w:pPr>
        <w:pStyle w:val="TableofFigures"/>
        <w:tabs>
          <w:tab w:val="right" w:leader="dot" w:pos="9062"/>
        </w:tabs>
        <w:rPr>
          <w:rFonts w:eastAsiaTheme="minorEastAsia"/>
          <w:noProof/>
          <w:lang w:val="hr-HR" w:eastAsia="hr-HR"/>
        </w:rPr>
      </w:pPr>
      <w:hyperlink w:anchor="_Toc10032453" w:history="1">
        <w:r w:rsidR="007F181C" w:rsidRPr="00291C64">
          <w:rPr>
            <w:rStyle w:val="Hyperlink"/>
            <w:i/>
            <w:noProof/>
            <w:lang w:val="hr-HR"/>
          </w:rPr>
          <w:t>Tablica 9: Plan izdanja obveznica u 2019. godini</w:t>
        </w:r>
        <w:r w:rsidR="007F181C">
          <w:rPr>
            <w:noProof/>
            <w:webHidden/>
          </w:rPr>
          <w:tab/>
        </w:r>
        <w:r w:rsidR="007F181C">
          <w:rPr>
            <w:noProof/>
            <w:webHidden/>
          </w:rPr>
          <w:fldChar w:fldCharType="begin"/>
        </w:r>
        <w:r w:rsidR="007F181C">
          <w:rPr>
            <w:noProof/>
            <w:webHidden/>
          </w:rPr>
          <w:instrText xml:space="preserve"> PAGEREF _Toc10032453 \h </w:instrText>
        </w:r>
        <w:r w:rsidR="007F181C">
          <w:rPr>
            <w:noProof/>
            <w:webHidden/>
          </w:rPr>
        </w:r>
        <w:r w:rsidR="007F181C">
          <w:rPr>
            <w:noProof/>
            <w:webHidden/>
          </w:rPr>
          <w:fldChar w:fldCharType="separate"/>
        </w:r>
        <w:r w:rsidR="007F181C">
          <w:rPr>
            <w:noProof/>
            <w:webHidden/>
          </w:rPr>
          <w:t>39</w:t>
        </w:r>
        <w:r w:rsidR="007F181C">
          <w:rPr>
            <w:noProof/>
            <w:webHidden/>
          </w:rPr>
          <w:fldChar w:fldCharType="end"/>
        </w:r>
      </w:hyperlink>
    </w:p>
    <w:p w14:paraId="4873F684" w14:textId="77777777" w:rsidR="007F181C" w:rsidRDefault="006D348B">
      <w:pPr>
        <w:pStyle w:val="TableofFigures"/>
        <w:tabs>
          <w:tab w:val="right" w:leader="dot" w:pos="9062"/>
        </w:tabs>
        <w:rPr>
          <w:rFonts w:eastAsiaTheme="minorEastAsia"/>
          <w:noProof/>
          <w:lang w:val="hr-HR" w:eastAsia="hr-HR"/>
        </w:rPr>
      </w:pPr>
      <w:hyperlink w:anchor="_Toc10032454" w:history="1">
        <w:r w:rsidR="007F181C" w:rsidRPr="00291C64">
          <w:rPr>
            <w:rStyle w:val="Hyperlink"/>
            <w:i/>
            <w:noProof/>
            <w:lang w:val="hr-HR"/>
          </w:rPr>
          <w:t>Tablica 10: Projekcija otplata glavnica duga državnog proračuna za razdoblje 2019. - 2032.</w:t>
        </w:r>
        <w:r w:rsidR="007F181C">
          <w:rPr>
            <w:noProof/>
            <w:webHidden/>
          </w:rPr>
          <w:tab/>
        </w:r>
        <w:r w:rsidR="007F181C">
          <w:rPr>
            <w:noProof/>
            <w:webHidden/>
          </w:rPr>
          <w:fldChar w:fldCharType="begin"/>
        </w:r>
        <w:r w:rsidR="007F181C">
          <w:rPr>
            <w:noProof/>
            <w:webHidden/>
          </w:rPr>
          <w:instrText xml:space="preserve"> PAGEREF _Toc10032454 \h </w:instrText>
        </w:r>
        <w:r w:rsidR="007F181C">
          <w:rPr>
            <w:noProof/>
            <w:webHidden/>
          </w:rPr>
        </w:r>
        <w:r w:rsidR="007F181C">
          <w:rPr>
            <w:noProof/>
            <w:webHidden/>
          </w:rPr>
          <w:fldChar w:fldCharType="separate"/>
        </w:r>
        <w:r w:rsidR="007F181C">
          <w:rPr>
            <w:noProof/>
            <w:webHidden/>
          </w:rPr>
          <w:t>40</w:t>
        </w:r>
        <w:r w:rsidR="007F181C">
          <w:rPr>
            <w:noProof/>
            <w:webHidden/>
          </w:rPr>
          <w:fldChar w:fldCharType="end"/>
        </w:r>
      </w:hyperlink>
    </w:p>
    <w:p w14:paraId="23C4F6E1" w14:textId="77777777" w:rsidR="007F181C" w:rsidRDefault="006D348B">
      <w:pPr>
        <w:pStyle w:val="TableofFigures"/>
        <w:tabs>
          <w:tab w:val="right" w:leader="dot" w:pos="9062"/>
        </w:tabs>
        <w:rPr>
          <w:rFonts w:eastAsiaTheme="minorEastAsia"/>
          <w:noProof/>
          <w:lang w:val="hr-HR" w:eastAsia="hr-HR"/>
        </w:rPr>
      </w:pPr>
      <w:hyperlink w:anchor="_Toc10032455" w:history="1">
        <w:r w:rsidR="007F181C" w:rsidRPr="00291C64">
          <w:rPr>
            <w:rStyle w:val="Hyperlink"/>
            <w:i/>
            <w:noProof/>
            <w:lang w:val="hr-HR"/>
          </w:rPr>
          <w:t>Tablica 11: Projekcija otplate unutarnjeg duga državnog proračuna</w:t>
        </w:r>
        <w:r w:rsidR="007F181C">
          <w:rPr>
            <w:noProof/>
            <w:webHidden/>
          </w:rPr>
          <w:tab/>
        </w:r>
        <w:r w:rsidR="007F181C">
          <w:rPr>
            <w:noProof/>
            <w:webHidden/>
          </w:rPr>
          <w:fldChar w:fldCharType="begin"/>
        </w:r>
        <w:r w:rsidR="007F181C">
          <w:rPr>
            <w:noProof/>
            <w:webHidden/>
          </w:rPr>
          <w:instrText xml:space="preserve"> PAGEREF _Toc10032455 \h </w:instrText>
        </w:r>
        <w:r w:rsidR="007F181C">
          <w:rPr>
            <w:noProof/>
            <w:webHidden/>
          </w:rPr>
        </w:r>
        <w:r w:rsidR="007F181C">
          <w:rPr>
            <w:noProof/>
            <w:webHidden/>
          </w:rPr>
          <w:fldChar w:fldCharType="separate"/>
        </w:r>
        <w:r w:rsidR="007F181C">
          <w:rPr>
            <w:noProof/>
            <w:webHidden/>
          </w:rPr>
          <w:t>40</w:t>
        </w:r>
        <w:r w:rsidR="007F181C">
          <w:rPr>
            <w:noProof/>
            <w:webHidden/>
          </w:rPr>
          <w:fldChar w:fldCharType="end"/>
        </w:r>
      </w:hyperlink>
    </w:p>
    <w:p w14:paraId="563FCFCF" w14:textId="77777777" w:rsidR="007F181C" w:rsidRDefault="006D348B">
      <w:pPr>
        <w:pStyle w:val="TableofFigures"/>
        <w:tabs>
          <w:tab w:val="right" w:leader="dot" w:pos="9062"/>
        </w:tabs>
        <w:rPr>
          <w:rFonts w:eastAsiaTheme="minorEastAsia"/>
          <w:noProof/>
          <w:lang w:val="hr-HR" w:eastAsia="hr-HR"/>
        </w:rPr>
      </w:pPr>
      <w:hyperlink w:anchor="_Toc10032456" w:history="1">
        <w:r w:rsidR="007F181C" w:rsidRPr="00291C64">
          <w:rPr>
            <w:rStyle w:val="Hyperlink"/>
            <w:i/>
            <w:noProof/>
            <w:lang w:val="hr-HR"/>
          </w:rPr>
          <w:t>Tablica 12: Projekcija otplata međunarodnih obveznica Republike Hrvatske</w:t>
        </w:r>
        <w:r w:rsidR="007F181C">
          <w:rPr>
            <w:noProof/>
            <w:webHidden/>
          </w:rPr>
          <w:tab/>
        </w:r>
        <w:r w:rsidR="007F181C">
          <w:rPr>
            <w:noProof/>
            <w:webHidden/>
          </w:rPr>
          <w:fldChar w:fldCharType="begin"/>
        </w:r>
        <w:r w:rsidR="007F181C">
          <w:rPr>
            <w:noProof/>
            <w:webHidden/>
          </w:rPr>
          <w:instrText xml:space="preserve"> PAGEREF _Toc10032456 \h </w:instrText>
        </w:r>
        <w:r w:rsidR="007F181C">
          <w:rPr>
            <w:noProof/>
            <w:webHidden/>
          </w:rPr>
        </w:r>
        <w:r w:rsidR="007F181C">
          <w:rPr>
            <w:noProof/>
            <w:webHidden/>
          </w:rPr>
          <w:fldChar w:fldCharType="separate"/>
        </w:r>
        <w:r w:rsidR="007F181C">
          <w:rPr>
            <w:noProof/>
            <w:webHidden/>
          </w:rPr>
          <w:t>41</w:t>
        </w:r>
        <w:r w:rsidR="007F181C">
          <w:rPr>
            <w:noProof/>
            <w:webHidden/>
          </w:rPr>
          <w:fldChar w:fldCharType="end"/>
        </w:r>
      </w:hyperlink>
    </w:p>
    <w:p w14:paraId="69140945" w14:textId="77777777" w:rsidR="007F181C" w:rsidRDefault="006D348B">
      <w:pPr>
        <w:pStyle w:val="TableofFigures"/>
        <w:tabs>
          <w:tab w:val="right" w:leader="dot" w:pos="9062"/>
        </w:tabs>
        <w:rPr>
          <w:rFonts w:eastAsiaTheme="minorEastAsia"/>
          <w:noProof/>
          <w:lang w:val="hr-HR" w:eastAsia="hr-HR"/>
        </w:rPr>
      </w:pPr>
      <w:hyperlink w:anchor="_Toc10032457" w:history="1">
        <w:r w:rsidR="007F181C" w:rsidRPr="00291C64">
          <w:rPr>
            <w:rStyle w:val="Hyperlink"/>
            <w:i/>
            <w:noProof/>
            <w:lang w:val="hr-HR"/>
          </w:rPr>
          <w:t>Tablica 13: Pregled aktivnih obveznica Republike Hrvatske, na dan 10. svibnja 2019.</w:t>
        </w:r>
        <w:r w:rsidR="007F181C">
          <w:rPr>
            <w:noProof/>
            <w:webHidden/>
          </w:rPr>
          <w:tab/>
        </w:r>
        <w:r w:rsidR="007F181C">
          <w:rPr>
            <w:noProof/>
            <w:webHidden/>
          </w:rPr>
          <w:fldChar w:fldCharType="begin"/>
        </w:r>
        <w:r w:rsidR="007F181C">
          <w:rPr>
            <w:noProof/>
            <w:webHidden/>
          </w:rPr>
          <w:instrText xml:space="preserve"> PAGEREF _Toc10032457 \h </w:instrText>
        </w:r>
        <w:r w:rsidR="007F181C">
          <w:rPr>
            <w:noProof/>
            <w:webHidden/>
          </w:rPr>
        </w:r>
        <w:r w:rsidR="007F181C">
          <w:rPr>
            <w:noProof/>
            <w:webHidden/>
          </w:rPr>
          <w:fldChar w:fldCharType="separate"/>
        </w:r>
        <w:r w:rsidR="007F181C">
          <w:rPr>
            <w:noProof/>
            <w:webHidden/>
          </w:rPr>
          <w:t>41</w:t>
        </w:r>
        <w:r w:rsidR="007F181C">
          <w:rPr>
            <w:noProof/>
            <w:webHidden/>
          </w:rPr>
          <w:fldChar w:fldCharType="end"/>
        </w:r>
      </w:hyperlink>
    </w:p>
    <w:p w14:paraId="40B48A70" w14:textId="77777777" w:rsidR="007F181C" w:rsidRDefault="006D348B">
      <w:pPr>
        <w:pStyle w:val="TableofFigures"/>
        <w:tabs>
          <w:tab w:val="right" w:leader="dot" w:pos="9062"/>
        </w:tabs>
        <w:rPr>
          <w:rFonts w:eastAsiaTheme="minorEastAsia"/>
          <w:noProof/>
          <w:lang w:val="hr-HR" w:eastAsia="hr-HR"/>
        </w:rPr>
      </w:pPr>
      <w:hyperlink w:anchor="_Toc10032458" w:history="1">
        <w:r w:rsidR="007F181C" w:rsidRPr="00291C64">
          <w:rPr>
            <w:rStyle w:val="Hyperlink"/>
            <w:i/>
            <w:noProof/>
            <w:lang w:val="hr-HR"/>
          </w:rPr>
          <w:t>Tablica 14: Stanje i projekcija kretanja referentnih pokazatelja strukture duga državnog proračuna</w:t>
        </w:r>
        <w:r w:rsidR="007F181C">
          <w:rPr>
            <w:noProof/>
            <w:webHidden/>
          </w:rPr>
          <w:tab/>
        </w:r>
        <w:r w:rsidR="007F181C">
          <w:rPr>
            <w:noProof/>
            <w:webHidden/>
          </w:rPr>
          <w:fldChar w:fldCharType="begin"/>
        </w:r>
        <w:r w:rsidR="007F181C">
          <w:rPr>
            <w:noProof/>
            <w:webHidden/>
          </w:rPr>
          <w:instrText xml:space="preserve"> PAGEREF _Toc10032458 \h </w:instrText>
        </w:r>
        <w:r w:rsidR="007F181C">
          <w:rPr>
            <w:noProof/>
            <w:webHidden/>
          </w:rPr>
        </w:r>
        <w:r w:rsidR="007F181C">
          <w:rPr>
            <w:noProof/>
            <w:webHidden/>
          </w:rPr>
          <w:fldChar w:fldCharType="separate"/>
        </w:r>
        <w:r w:rsidR="007F181C">
          <w:rPr>
            <w:noProof/>
            <w:webHidden/>
          </w:rPr>
          <w:t>45</w:t>
        </w:r>
        <w:r w:rsidR="007F181C">
          <w:rPr>
            <w:noProof/>
            <w:webHidden/>
          </w:rPr>
          <w:fldChar w:fldCharType="end"/>
        </w:r>
      </w:hyperlink>
    </w:p>
    <w:p w14:paraId="667926FA" w14:textId="77777777" w:rsidR="004F6B28" w:rsidRPr="002D5C87" w:rsidRDefault="004F6B28" w:rsidP="0035474D">
      <w:pPr>
        <w:spacing w:line="276" w:lineRule="auto"/>
        <w:rPr>
          <w:b/>
          <w:sz w:val="12"/>
          <w:szCs w:val="24"/>
          <w:lang w:val="hr-HR"/>
        </w:rPr>
      </w:pPr>
      <w:r w:rsidRPr="002D5C87">
        <w:rPr>
          <w:b/>
          <w:sz w:val="28"/>
          <w:lang w:val="hr-HR"/>
        </w:rPr>
        <w:fldChar w:fldCharType="end"/>
      </w:r>
    </w:p>
    <w:p w14:paraId="50D935F7" w14:textId="77777777" w:rsidR="00953B44" w:rsidRPr="002D5C87" w:rsidRDefault="004F6B28" w:rsidP="0035474D">
      <w:pPr>
        <w:pStyle w:val="TOCHeading"/>
        <w:spacing w:line="276" w:lineRule="auto"/>
        <w:rPr>
          <w:lang w:val="hr-HR"/>
        </w:rPr>
      </w:pPr>
      <w:r w:rsidRPr="002D5C87">
        <w:rPr>
          <w:lang w:val="hr-HR"/>
        </w:rPr>
        <w:t>Popis grafikona</w:t>
      </w:r>
    </w:p>
    <w:p w14:paraId="37F819DA" w14:textId="77777777" w:rsidR="00F571B5" w:rsidRPr="002D5C87" w:rsidRDefault="00F571B5" w:rsidP="00F571B5">
      <w:pPr>
        <w:rPr>
          <w:sz w:val="16"/>
          <w:lang w:val="hr-HR" w:eastAsia="ja-JP"/>
        </w:rPr>
      </w:pPr>
    </w:p>
    <w:p w14:paraId="556AA7B4" w14:textId="77777777" w:rsidR="007F181C" w:rsidRDefault="004F6B28">
      <w:pPr>
        <w:pStyle w:val="TableofFigures"/>
        <w:tabs>
          <w:tab w:val="right" w:leader="dot" w:pos="9062"/>
        </w:tabs>
        <w:rPr>
          <w:rFonts w:eastAsiaTheme="minorEastAsia"/>
          <w:noProof/>
          <w:lang w:val="hr-HR" w:eastAsia="hr-HR"/>
        </w:rPr>
      </w:pPr>
      <w:r w:rsidRPr="002D5C87">
        <w:rPr>
          <w:b/>
          <w:sz w:val="28"/>
          <w:lang w:val="hr-HR"/>
        </w:rPr>
        <w:fldChar w:fldCharType="begin"/>
      </w:r>
      <w:r w:rsidRPr="002D5C87">
        <w:rPr>
          <w:b/>
          <w:sz w:val="28"/>
          <w:lang w:val="hr-HR"/>
        </w:rPr>
        <w:instrText xml:space="preserve"> TOC \h \z \c "Grafikon" </w:instrText>
      </w:r>
      <w:r w:rsidRPr="002D5C87">
        <w:rPr>
          <w:b/>
          <w:sz w:val="28"/>
          <w:lang w:val="hr-HR"/>
        </w:rPr>
        <w:fldChar w:fldCharType="separate"/>
      </w:r>
      <w:hyperlink w:anchor="_Toc10032459" w:history="1">
        <w:r w:rsidR="007F181C" w:rsidRPr="00B6183F">
          <w:rPr>
            <w:rStyle w:val="Hyperlink"/>
            <w:i/>
            <w:noProof/>
            <w:lang w:val="hr-HR"/>
          </w:rPr>
          <w:t>Grafikon 1: Kretanje javnog duga u razdoblju 2011. - 2018.</w:t>
        </w:r>
        <w:r w:rsidR="007F181C">
          <w:rPr>
            <w:noProof/>
            <w:webHidden/>
          </w:rPr>
          <w:tab/>
        </w:r>
        <w:r w:rsidR="007F181C">
          <w:rPr>
            <w:noProof/>
            <w:webHidden/>
          </w:rPr>
          <w:fldChar w:fldCharType="begin"/>
        </w:r>
        <w:r w:rsidR="007F181C">
          <w:rPr>
            <w:noProof/>
            <w:webHidden/>
          </w:rPr>
          <w:instrText xml:space="preserve"> PAGEREF _Toc10032459 \h </w:instrText>
        </w:r>
        <w:r w:rsidR="007F181C">
          <w:rPr>
            <w:noProof/>
            <w:webHidden/>
          </w:rPr>
        </w:r>
        <w:r w:rsidR="007F181C">
          <w:rPr>
            <w:noProof/>
            <w:webHidden/>
          </w:rPr>
          <w:fldChar w:fldCharType="separate"/>
        </w:r>
        <w:r w:rsidR="007F181C">
          <w:rPr>
            <w:noProof/>
            <w:webHidden/>
          </w:rPr>
          <w:t>11</w:t>
        </w:r>
        <w:r w:rsidR="007F181C">
          <w:rPr>
            <w:noProof/>
            <w:webHidden/>
          </w:rPr>
          <w:fldChar w:fldCharType="end"/>
        </w:r>
      </w:hyperlink>
    </w:p>
    <w:p w14:paraId="77B08199" w14:textId="77777777" w:rsidR="007F181C" w:rsidRDefault="006D348B">
      <w:pPr>
        <w:pStyle w:val="TableofFigures"/>
        <w:tabs>
          <w:tab w:val="right" w:leader="dot" w:pos="9062"/>
        </w:tabs>
        <w:rPr>
          <w:rFonts w:eastAsiaTheme="minorEastAsia"/>
          <w:noProof/>
          <w:lang w:val="hr-HR" w:eastAsia="hr-HR"/>
        </w:rPr>
      </w:pPr>
      <w:hyperlink w:anchor="_Toc10032460" w:history="1">
        <w:r w:rsidR="007F181C" w:rsidRPr="00B6183F">
          <w:rPr>
            <w:rStyle w:val="Hyperlink"/>
            <w:i/>
            <w:noProof/>
            <w:lang w:val="hr-HR"/>
          </w:rPr>
          <w:t>Grafikon 2: Valutna struktura državnog duga na dan 31. prosinca 2018.</w:t>
        </w:r>
        <w:r w:rsidR="007F181C">
          <w:rPr>
            <w:noProof/>
            <w:webHidden/>
          </w:rPr>
          <w:tab/>
        </w:r>
        <w:r w:rsidR="007F181C">
          <w:rPr>
            <w:noProof/>
            <w:webHidden/>
          </w:rPr>
          <w:fldChar w:fldCharType="begin"/>
        </w:r>
        <w:r w:rsidR="007F181C">
          <w:rPr>
            <w:noProof/>
            <w:webHidden/>
          </w:rPr>
          <w:instrText xml:space="preserve"> PAGEREF _Toc10032460 \h </w:instrText>
        </w:r>
        <w:r w:rsidR="007F181C">
          <w:rPr>
            <w:noProof/>
            <w:webHidden/>
          </w:rPr>
        </w:r>
        <w:r w:rsidR="007F181C">
          <w:rPr>
            <w:noProof/>
            <w:webHidden/>
          </w:rPr>
          <w:fldChar w:fldCharType="separate"/>
        </w:r>
        <w:r w:rsidR="007F181C">
          <w:rPr>
            <w:noProof/>
            <w:webHidden/>
          </w:rPr>
          <w:t>15</w:t>
        </w:r>
        <w:r w:rsidR="007F181C">
          <w:rPr>
            <w:noProof/>
            <w:webHidden/>
          </w:rPr>
          <w:fldChar w:fldCharType="end"/>
        </w:r>
      </w:hyperlink>
    </w:p>
    <w:p w14:paraId="4968C949" w14:textId="77777777" w:rsidR="007F181C" w:rsidRDefault="006D348B">
      <w:pPr>
        <w:pStyle w:val="TableofFigures"/>
        <w:tabs>
          <w:tab w:val="right" w:leader="dot" w:pos="9062"/>
        </w:tabs>
        <w:rPr>
          <w:rFonts w:eastAsiaTheme="minorEastAsia"/>
          <w:noProof/>
          <w:lang w:val="hr-HR" w:eastAsia="hr-HR"/>
        </w:rPr>
      </w:pPr>
      <w:hyperlink w:anchor="_Toc10032461" w:history="1">
        <w:r w:rsidR="007F181C" w:rsidRPr="00B6183F">
          <w:rPr>
            <w:rStyle w:val="Hyperlink"/>
            <w:i/>
            <w:noProof/>
            <w:lang w:val="hr-HR"/>
          </w:rPr>
          <w:t>Grafikon 3: Kretanje valutne strukture državnog duga u razdoblju 2013. - 2018.</w:t>
        </w:r>
        <w:r w:rsidR="007F181C">
          <w:rPr>
            <w:noProof/>
            <w:webHidden/>
          </w:rPr>
          <w:tab/>
        </w:r>
        <w:r w:rsidR="007F181C">
          <w:rPr>
            <w:noProof/>
            <w:webHidden/>
          </w:rPr>
          <w:fldChar w:fldCharType="begin"/>
        </w:r>
        <w:r w:rsidR="007F181C">
          <w:rPr>
            <w:noProof/>
            <w:webHidden/>
          </w:rPr>
          <w:instrText xml:space="preserve"> PAGEREF _Toc10032461 \h </w:instrText>
        </w:r>
        <w:r w:rsidR="007F181C">
          <w:rPr>
            <w:noProof/>
            <w:webHidden/>
          </w:rPr>
        </w:r>
        <w:r w:rsidR="007F181C">
          <w:rPr>
            <w:noProof/>
            <w:webHidden/>
          </w:rPr>
          <w:fldChar w:fldCharType="separate"/>
        </w:r>
        <w:r w:rsidR="007F181C">
          <w:rPr>
            <w:noProof/>
            <w:webHidden/>
          </w:rPr>
          <w:t>16</w:t>
        </w:r>
        <w:r w:rsidR="007F181C">
          <w:rPr>
            <w:noProof/>
            <w:webHidden/>
          </w:rPr>
          <w:fldChar w:fldCharType="end"/>
        </w:r>
      </w:hyperlink>
    </w:p>
    <w:p w14:paraId="53FED55A" w14:textId="77777777" w:rsidR="007F181C" w:rsidRDefault="006D348B">
      <w:pPr>
        <w:pStyle w:val="TableofFigures"/>
        <w:tabs>
          <w:tab w:val="right" w:leader="dot" w:pos="9062"/>
        </w:tabs>
        <w:rPr>
          <w:rFonts w:eastAsiaTheme="minorEastAsia"/>
          <w:noProof/>
          <w:lang w:val="hr-HR" w:eastAsia="hr-HR"/>
        </w:rPr>
      </w:pPr>
      <w:hyperlink w:anchor="_Toc10032462" w:history="1">
        <w:r w:rsidR="007F181C" w:rsidRPr="00B6183F">
          <w:rPr>
            <w:rStyle w:val="Hyperlink"/>
            <w:i/>
            <w:noProof/>
            <w:lang w:val="hr-HR"/>
          </w:rPr>
          <w:t xml:space="preserve">Grafikon 4: Valutni </w:t>
        </w:r>
        <w:r w:rsidR="007F181C" w:rsidRPr="00B6183F">
          <w:rPr>
            <w:rStyle w:val="Hyperlink"/>
            <w:noProof/>
            <w:lang w:val="hr-HR"/>
          </w:rPr>
          <w:t>swap</w:t>
        </w:r>
        <w:r w:rsidR="007F181C" w:rsidRPr="00B6183F">
          <w:rPr>
            <w:rStyle w:val="Hyperlink"/>
            <w:i/>
            <w:noProof/>
            <w:lang w:val="hr-HR"/>
          </w:rPr>
          <w:t xml:space="preserve"> kao instrument zaštite od valutnog rizika, 31. prosinca 2018.</w:t>
        </w:r>
        <w:r w:rsidR="007F181C">
          <w:rPr>
            <w:noProof/>
            <w:webHidden/>
          </w:rPr>
          <w:tab/>
        </w:r>
        <w:r w:rsidR="007F181C">
          <w:rPr>
            <w:noProof/>
            <w:webHidden/>
          </w:rPr>
          <w:fldChar w:fldCharType="begin"/>
        </w:r>
        <w:r w:rsidR="007F181C">
          <w:rPr>
            <w:noProof/>
            <w:webHidden/>
          </w:rPr>
          <w:instrText xml:space="preserve"> PAGEREF _Toc10032462 \h </w:instrText>
        </w:r>
        <w:r w:rsidR="007F181C">
          <w:rPr>
            <w:noProof/>
            <w:webHidden/>
          </w:rPr>
        </w:r>
        <w:r w:rsidR="007F181C">
          <w:rPr>
            <w:noProof/>
            <w:webHidden/>
          </w:rPr>
          <w:fldChar w:fldCharType="separate"/>
        </w:r>
        <w:r w:rsidR="007F181C">
          <w:rPr>
            <w:noProof/>
            <w:webHidden/>
          </w:rPr>
          <w:t>17</w:t>
        </w:r>
        <w:r w:rsidR="007F181C">
          <w:rPr>
            <w:noProof/>
            <w:webHidden/>
          </w:rPr>
          <w:fldChar w:fldCharType="end"/>
        </w:r>
      </w:hyperlink>
    </w:p>
    <w:p w14:paraId="724BC3BF" w14:textId="77777777" w:rsidR="007F181C" w:rsidRDefault="006D348B">
      <w:pPr>
        <w:pStyle w:val="TableofFigures"/>
        <w:tabs>
          <w:tab w:val="right" w:leader="dot" w:pos="9062"/>
        </w:tabs>
        <w:rPr>
          <w:rFonts w:eastAsiaTheme="minorEastAsia"/>
          <w:noProof/>
          <w:lang w:val="hr-HR" w:eastAsia="hr-HR"/>
        </w:rPr>
      </w:pPr>
      <w:hyperlink w:anchor="_Toc10032463" w:history="1">
        <w:r w:rsidR="007F181C" w:rsidRPr="00B6183F">
          <w:rPr>
            <w:rStyle w:val="Hyperlink"/>
            <w:i/>
            <w:noProof/>
            <w:lang w:val="hr-HR"/>
          </w:rPr>
          <w:t>Grafikon 5: Struktura dugoročnog državnog duga prema vrsti kamate, 2013. - 2018.</w:t>
        </w:r>
        <w:r w:rsidR="007F181C">
          <w:rPr>
            <w:noProof/>
            <w:webHidden/>
          </w:rPr>
          <w:tab/>
        </w:r>
        <w:r w:rsidR="007F181C">
          <w:rPr>
            <w:noProof/>
            <w:webHidden/>
          </w:rPr>
          <w:fldChar w:fldCharType="begin"/>
        </w:r>
        <w:r w:rsidR="007F181C">
          <w:rPr>
            <w:noProof/>
            <w:webHidden/>
          </w:rPr>
          <w:instrText xml:space="preserve"> PAGEREF _Toc10032463 \h </w:instrText>
        </w:r>
        <w:r w:rsidR="007F181C">
          <w:rPr>
            <w:noProof/>
            <w:webHidden/>
          </w:rPr>
        </w:r>
        <w:r w:rsidR="007F181C">
          <w:rPr>
            <w:noProof/>
            <w:webHidden/>
          </w:rPr>
          <w:fldChar w:fldCharType="separate"/>
        </w:r>
        <w:r w:rsidR="007F181C">
          <w:rPr>
            <w:noProof/>
            <w:webHidden/>
          </w:rPr>
          <w:t>18</w:t>
        </w:r>
        <w:r w:rsidR="007F181C">
          <w:rPr>
            <w:noProof/>
            <w:webHidden/>
          </w:rPr>
          <w:fldChar w:fldCharType="end"/>
        </w:r>
      </w:hyperlink>
    </w:p>
    <w:p w14:paraId="5FA15F5C" w14:textId="77777777" w:rsidR="007F181C" w:rsidRDefault="006D348B">
      <w:pPr>
        <w:pStyle w:val="TableofFigures"/>
        <w:tabs>
          <w:tab w:val="right" w:leader="dot" w:pos="9062"/>
        </w:tabs>
        <w:rPr>
          <w:rFonts w:eastAsiaTheme="minorEastAsia"/>
          <w:noProof/>
          <w:lang w:val="hr-HR" w:eastAsia="hr-HR"/>
        </w:rPr>
      </w:pPr>
      <w:hyperlink w:anchor="_Toc10032464" w:history="1">
        <w:r w:rsidR="007F181C" w:rsidRPr="00B6183F">
          <w:rPr>
            <w:rStyle w:val="Hyperlink"/>
            <w:i/>
            <w:noProof/>
            <w:lang w:val="hr-HR"/>
          </w:rPr>
          <w:t>Grafikon 6: Dospijeća dugoročnog državnog duga u razdoblju 2019. - 2032.</w:t>
        </w:r>
        <w:r w:rsidR="007F181C">
          <w:rPr>
            <w:noProof/>
            <w:webHidden/>
          </w:rPr>
          <w:tab/>
        </w:r>
        <w:r w:rsidR="007F181C">
          <w:rPr>
            <w:noProof/>
            <w:webHidden/>
          </w:rPr>
          <w:fldChar w:fldCharType="begin"/>
        </w:r>
        <w:r w:rsidR="007F181C">
          <w:rPr>
            <w:noProof/>
            <w:webHidden/>
          </w:rPr>
          <w:instrText xml:space="preserve"> PAGEREF _Toc10032464 \h </w:instrText>
        </w:r>
        <w:r w:rsidR="007F181C">
          <w:rPr>
            <w:noProof/>
            <w:webHidden/>
          </w:rPr>
        </w:r>
        <w:r w:rsidR="007F181C">
          <w:rPr>
            <w:noProof/>
            <w:webHidden/>
          </w:rPr>
          <w:fldChar w:fldCharType="separate"/>
        </w:r>
        <w:r w:rsidR="007F181C">
          <w:rPr>
            <w:noProof/>
            <w:webHidden/>
          </w:rPr>
          <w:t>19</w:t>
        </w:r>
        <w:r w:rsidR="007F181C">
          <w:rPr>
            <w:noProof/>
            <w:webHidden/>
          </w:rPr>
          <w:fldChar w:fldCharType="end"/>
        </w:r>
      </w:hyperlink>
    </w:p>
    <w:p w14:paraId="4CD438B1" w14:textId="77777777" w:rsidR="007F181C" w:rsidRDefault="006D348B">
      <w:pPr>
        <w:pStyle w:val="TableofFigures"/>
        <w:tabs>
          <w:tab w:val="right" w:leader="dot" w:pos="9062"/>
        </w:tabs>
        <w:rPr>
          <w:rFonts w:eastAsiaTheme="minorEastAsia"/>
          <w:noProof/>
          <w:lang w:val="hr-HR" w:eastAsia="hr-HR"/>
        </w:rPr>
      </w:pPr>
      <w:hyperlink w:anchor="_Toc10032465" w:history="1">
        <w:r w:rsidR="007F181C" w:rsidRPr="00B6183F">
          <w:rPr>
            <w:rStyle w:val="Hyperlink"/>
            <w:i/>
            <w:noProof/>
            <w:lang w:val="hr-HR"/>
          </w:rPr>
          <w:t>Grafikon 7: Struktura trezorskih zapisa na dan 31. prosinca 2018.</w:t>
        </w:r>
        <w:r w:rsidR="007F181C">
          <w:rPr>
            <w:noProof/>
            <w:webHidden/>
          </w:rPr>
          <w:tab/>
        </w:r>
        <w:r w:rsidR="007F181C">
          <w:rPr>
            <w:noProof/>
            <w:webHidden/>
          </w:rPr>
          <w:fldChar w:fldCharType="begin"/>
        </w:r>
        <w:r w:rsidR="007F181C">
          <w:rPr>
            <w:noProof/>
            <w:webHidden/>
          </w:rPr>
          <w:instrText xml:space="preserve"> PAGEREF _Toc10032465 \h </w:instrText>
        </w:r>
        <w:r w:rsidR="007F181C">
          <w:rPr>
            <w:noProof/>
            <w:webHidden/>
          </w:rPr>
        </w:r>
        <w:r w:rsidR="007F181C">
          <w:rPr>
            <w:noProof/>
            <w:webHidden/>
          </w:rPr>
          <w:fldChar w:fldCharType="separate"/>
        </w:r>
        <w:r w:rsidR="007F181C">
          <w:rPr>
            <w:noProof/>
            <w:webHidden/>
          </w:rPr>
          <w:t>20</w:t>
        </w:r>
        <w:r w:rsidR="007F181C">
          <w:rPr>
            <w:noProof/>
            <w:webHidden/>
          </w:rPr>
          <w:fldChar w:fldCharType="end"/>
        </w:r>
      </w:hyperlink>
    </w:p>
    <w:p w14:paraId="048FCA34" w14:textId="77777777" w:rsidR="007F181C" w:rsidRDefault="006D348B">
      <w:pPr>
        <w:pStyle w:val="TableofFigures"/>
        <w:tabs>
          <w:tab w:val="right" w:leader="dot" w:pos="9062"/>
        </w:tabs>
        <w:rPr>
          <w:rFonts w:eastAsiaTheme="minorEastAsia"/>
          <w:noProof/>
          <w:lang w:val="hr-HR" w:eastAsia="hr-HR"/>
        </w:rPr>
      </w:pPr>
      <w:hyperlink w:anchor="_Toc10032466" w:history="1">
        <w:r w:rsidR="007F181C" w:rsidRPr="00B6183F">
          <w:rPr>
            <w:rStyle w:val="Hyperlink"/>
            <w:i/>
            <w:noProof/>
            <w:lang w:val="hr-HR"/>
          </w:rPr>
          <w:t>Grafikon 8: Kamatne stope na trezorske zapise u razdoblju 2013. – 2018.</w:t>
        </w:r>
        <w:r w:rsidR="007F181C">
          <w:rPr>
            <w:noProof/>
            <w:webHidden/>
          </w:rPr>
          <w:tab/>
        </w:r>
        <w:r w:rsidR="007F181C">
          <w:rPr>
            <w:noProof/>
            <w:webHidden/>
          </w:rPr>
          <w:fldChar w:fldCharType="begin"/>
        </w:r>
        <w:r w:rsidR="007F181C">
          <w:rPr>
            <w:noProof/>
            <w:webHidden/>
          </w:rPr>
          <w:instrText xml:space="preserve"> PAGEREF _Toc10032466 \h </w:instrText>
        </w:r>
        <w:r w:rsidR="007F181C">
          <w:rPr>
            <w:noProof/>
            <w:webHidden/>
          </w:rPr>
        </w:r>
        <w:r w:rsidR="007F181C">
          <w:rPr>
            <w:noProof/>
            <w:webHidden/>
          </w:rPr>
          <w:fldChar w:fldCharType="separate"/>
        </w:r>
        <w:r w:rsidR="007F181C">
          <w:rPr>
            <w:noProof/>
            <w:webHidden/>
          </w:rPr>
          <w:t>21</w:t>
        </w:r>
        <w:r w:rsidR="007F181C">
          <w:rPr>
            <w:noProof/>
            <w:webHidden/>
          </w:rPr>
          <w:fldChar w:fldCharType="end"/>
        </w:r>
      </w:hyperlink>
    </w:p>
    <w:p w14:paraId="1B4CCF96" w14:textId="77777777" w:rsidR="007F181C" w:rsidRDefault="006D348B">
      <w:pPr>
        <w:pStyle w:val="TableofFigures"/>
        <w:tabs>
          <w:tab w:val="right" w:leader="dot" w:pos="9062"/>
        </w:tabs>
        <w:rPr>
          <w:rFonts w:eastAsiaTheme="minorEastAsia"/>
          <w:noProof/>
          <w:lang w:val="hr-HR" w:eastAsia="hr-HR"/>
        </w:rPr>
      </w:pPr>
      <w:hyperlink w:anchor="_Toc10032467" w:history="1">
        <w:r w:rsidR="007F181C" w:rsidRPr="00B6183F">
          <w:rPr>
            <w:rStyle w:val="Hyperlink"/>
            <w:i/>
            <w:noProof/>
            <w:lang w:val="hr-HR"/>
          </w:rPr>
          <w:t>Grafikon 9: Krivulja prinosa domaćih obveznica, svibanj 2019.</w:t>
        </w:r>
        <w:r w:rsidR="007F181C">
          <w:rPr>
            <w:noProof/>
            <w:webHidden/>
          </w:rPr>
          <w:tab/>
        </w:r>
        <w:r w:rsidR="007F181C">
          <w:rPr>
            <w:noProof/>
            <w:webHidden/>
          </w:rPr>
          <w:fldChar w:fldCharType="begin"/>
        </w:r>
        <w:r w:rsidR="007F181C">
          <w:rPr>
            <w:noProof/>
            <w:webHidden/>
          </w:rPr>
          <w:instrText xml:space="preserve"> PAGEREF _Toc10032467 \h </w:instrText>
        </w:r>
        <w:r w:rsidR="007F181C">
          <w:rPr>
            <w:noProof/>
            <w:webHidden/>
          </w:rPr>
        </w:r>
        <w:r w:rsidR="007F181C">
          <w:rPr>
            <w:noProof/>
            <w:webHidden/>
          </w:rPr>
          <w:fldChar w:fldCharType="separate"/>
        </w:r>
        <w:r w:rsidR="007F181C">
          <w:rPr>
            <w:noProof/>
            <w:webHidden/>
          </w:rPr>
          <w:t>22</w:t>
        </w:r>
        <w:r w:rsidR="007F181C">
          <w:rPr>
            <w:noProof/>
            <w:webHidden/>
          </w:rPr>
          <w:fldChar w:fldCharType="end"/>
        </w:r>
      </w:hyperlink>
    </w:p>
    <w:p w14:paraId="6CC464C9" w14:textId="77777777" w:rsidR="007F181C" w:rsidRDefault="006D348B">
      <w:pPr>
        <w:pStyle w:val="TableofFigures"/>
        <w:tabs>
          <w:tab w:val="right" w:leader="dot" w:pos="9062"/>
        </w:tabs>
        <w:rPr>
          <w:rFonts w:eastAsiaTheme="minorEastAsia"/>
          <w:noProof/>
          <w:lang w:val="hr-HR" w:eastAsia="hr-HR"/>
        </w:rPr>
      </w:pPr>
      <w:hyperlink w:anchor="_Toc10032468" w:history="1">
        <w:r w:rsidR="007F181C" w:rsidRPr="00B6183F">
          <w:rPr>
            <w:rStyle w:val="Hyperlink"/>
            <w:i/>
            <w:noProof/>
            <w:lang w:val="hr-HR"/>
          </w:rPr>
          <w:t>Grafikon 10: Krivulja prinosa inozemnih obveznica, svibanj 2019.</w:t>
        </w:r>
        <w:r w:rsidR="007F181C">
          <w:rPr>
            <w:noProof/>
            <w:webHidden/>
          </w:rPr>
          <w:tab/>
        </w:r>
        <w:r w:rsidR="007F181C">
          <w:rPr>
            <w:noProof/>
            <w:webHidden/>
          </w:rPr>
          <w:fldChar w:fldCharType="begin"/>
        </w:r>
        <w:r w:rsidR="007F181C">
          <w:rPr>
            <w:noProof/>
            <w:webHidden/>
          </w:rPr>
          <w:instrText xml:space="preserve"> PAGEREF _Toc10032468 \h </w:instrText>
        </w:r>
        <w:r w:rsidR="007F181C">
          <w:rPr>
            <w:noProof/>
            <w:webHidden/>
          </w:rPr>
        </w:r>
        <w:r w:rsidR="007F181C">
          <w:rPr>
            <w:noProof/>
            <w:webHidden/>
          </w:rPr>
          <w:fldChar w:fldCharType="separate"/>
        </w:r>
        <w:r w:rsidR="007F181C">
          <w:rPr>
            <w:noProof/>
            <w:webHidden/>
          </w:rPr>
          <w:t>22</w:t>
        </w:r>
        <w:r w:rsidR="007F181C">
          <w:rPr>
            <w:noProof/>
            <w:webHidden/>
          </w:rPr>
          <w:fldChar w:fldCharType="end"/>
        </w:r>
      </w:hyperlink>
    </w:p>
    <w:p w14:paraId="455B752C" w14:textId="77777777" w:rsidR="007F181C" w:rsidRDefault="006D348B">
      <w:pPr>
        <w:pStyle w:val="TableofFigures"/>
        <w:tabs>
          <w:tab w:val="right" w:leader="dot" w:pos="9062"/>
        </w:tabs>
        <w:rPr>
          <w:rFonts w:eastAsiaTheme="minorEastAsia"/>
          <w:noProof/>
          <w:lang w:val="hr-HR" w:eastAsia="hr-HR"/>
        </w:rPr>
      </w:pPr>
      <w:hyperlink w:anchor="_Toc10032469" w:history="1">
        <w:r w:rsidR="007F181C" w:rsidRPr="00B6183F">
          <w:rPr>
            <w:rStyle w:val="Hyperlink"/>
            <w:i/>
            <w:noProof/>
            <w:lang w:val="hr-HR"/>
          </w:rPr>
          <w:t>Grafikon 11: Kretanje javnog duga 2015. - 2021.</w:t>
        </w:r>
        <w:r w:rsidR="007F181C">
          <w:rPr>
            <w:noProof/>
            <w:webHidden/>
          </w:rPr>
          <w:tab/>
        </w:r>
        <w:r w:rsidR="007F181C">
          <w:rPr>
            <w:noProof/>
            <w:webHidden/>
          </w:rPr>
          <w:fldChar w:fldCharType="begin"/>
        </w:r>
        <w:r w:rsidR="007F181C">
          <w:rPr>
            <w:noProof/>
            <w:webHidden/>
          </w:rPr>
          <w:instrText xml:space="preserve"> PAGEREF _Toc10032469 \h </w:instrText>
        </w:r>
        <w:r w:rsidR="007F181C">
          <w:rPr>
            <w:noProof/>
            <w:webHidden/>
          </w:rPr>
        </w:r>
        <w:r w:rsidR="007F181C">
          <w:rPr>
            <w:noProof/>
            <w:webHidden/>
          </w:rPr>
          <w:fldChar w:fldCharType="separate"/>
        </w:r>
        <w:r w:rsidR="007F181C">
          <w:rPr>
            <w:noProof/>
            <w:webHidden/>
          </w:rPr>
          <w:t>31</w:t>
        </w:r>
        <w:r w:rsidR="007F181C">
          <w:rPr>
            <w:noProof/>
            <w:webHidden/>
          </w:rPr>
          <w:fldChar w:fldCharType="end"/>
        </w:r>
      </w:hyperlink>
    </w:p>
    <w:p w14:paraId="60AAE017" w14:textId="77777777" w:rsidR="007F181C" w:rsidRDefault="006D348B">
      <w:pPr>
        <w:pStyle w:val="TableofFigures"/>
        <w:tabs>
          <w:tab w:val="right" w:leader="dot" w:pos="9062"/>
        </w:tabs>
        <w:rPr>
          <w:rFonts w:eastAsiaTheme="minorEastAsia"/>
          <w:noProof/>
          <w:lang w:val="hr-HR" w:eastAsia="hr-HR"/>
        </w:rPr>
      </w:pPr>
      <w:hyperlink w:anchor="_Toc10032470" w:history="1">
        <w:r w:rsidR="007F181C" w:rsidRPr="00B6183F">
          <w:rPr>
            <w:rStyle w:val="Hyperlink"/>
            <w:i/>
            <w:noProof/>
            <w:lang w:val="hr-HR"/>
          </w:rPr>
          <w:t>Grafikon 12: Kretanje premije osiguranja od kreditnog rizika (Credit Default Swap, CDS 5Y) za RH i usporedne države EU u razdoblju 2015. - 2019.</w:t>
        </w:r>
        <w:r w:rsidR="007F181C">
          <w:rPr>
            <w:noProof/>
            <w:webHidden/>
          </w:rPr>
          <w:tab/>
        </w:r>
        <w:r w:rsidR="007F181C">
          <w:rPr>
            <w:noProof/>
            <w:webHidden/>
          </w:rPr>
          <w:fldChar w:fldCharType="begin"/>
        </w:r>
        <w:r w:rsidR="007F181C">
          <w:rPr>
            <w:noProof/>
            <w:webHidden/>
          </w:rPr>
          <w:instrText xml:space="preserve"> PAGEREF _Toc10032470 \h </w:instrText>
        </w:r>
        <w:r w:rsidR="007F181C">
          <w:rPr>
            <w:noProof/>
            <w:webHidden/>
          </w:rPr>
        </w:r>
        <w:r w:rsidR="007F181C">
          <w:rPr>
            <w:noProof/>
            <w:webHidden/>
          </w:rPr>
          <w:fldChar w:fldCharType="separate"/>
        </w:r>
        <w:r w:rsidR="007F181C">
          <w:rPr>
            <w:noProof/>
            <w:webHidden/>
          </w:rPr>
          <w:t>42</w:t>
        </w:r>
        <w:r w:rsidR="007F181C">
          <w:rPr>
            <w:noProof/>
            <w:webHidden/>
          </w:rPr>
          <w:fldChar w:fldCharType="end"/>
        </w:r>
      </w:hyperlink>
    </w:p>
    <w:p w14:paraId="1663BAA9" w14:textId="77777777" w:rsidR="007F181C" w:rsidRDefault="006D348B">
      <w:pPr>
        <w:pStyle w:val="TableofFigures"/>
        <w:tabs>
          <w:tab w:val="right" w:leader="dot" w:pos="9062"/>
        </w:tabs>
        <w:rPr>
          <w:rFonts w:eastAsiaTheme="minorEastAsia"/>
          <w:noProof/>
          <w:lang w:val="hr-HR" w:eastAsia="hr-HR"/>
        </w:rPr>
      </w:pPr>
      <w:hyperlink w:anchor="_Toc10032471" w:history="1">
        <w:r w:rsidR="007F181C" w:rsidRPr="00B6183F">
          <w:rPr>
            <w:rStyle w:val="Hyperlink"/>
            <w:i/>
            <w:noProof/>
            <w:lang w:val="hr-HR"/>
          </w:rPr>
          <w:t>Grafikon 13: Kretanje udjela javnog duga u BDP-u prema određenim scenarijima</w:t>
        </w:r>
        <w:r w:rsidR="007F181C">
          <w:rPr>
            <w:noProof/>
            <w:webHidden/>
          </w:rPr>
          <w:tab/>
        </w:r>
        <w:r w:rsidR="007F181C">
          <w:rPr>
            <w:noProof/>
            <w:webHidden/>
          </w:rPr>
          <w:fldChar w:fldCharType="begin"/>
        </w:r>
        <w:r w:rsidR="007F181C">
          <w:rPr>
            <w:noProof/>
            <w:webHidden/>
          </w:rPr>
          <w:instrText xml:space="preserve"> PAGEREF _Toc10032471 \h </w:instrText>
        </w:r>
        <w:r w:rsidR="007F181C">
          <w:rPr>
            <w:noProof/>
            <w:webHidden/>
          </w:rPr>
        </w:r>
        <w:r w:rsidR="007F181C">
          <w:rPr>
            <w:noProof/>
            <w:webHidden/>
          </w:rPr>
          <w:fldChar w:fldCharType="separate"/>
        </w:r>
        <w:r w:rsidR="007F181C">
          <w:rPr>
            <w:noProof/>
            <w:webHidden/>
          </w:rPr>
          <w:t>44</w:t>
        </w:r>
        <w:r w:rsidR="007F181C">
          <w:rPr>
            <w:noProof/>
            <w:webHidden/>
          </w:rPr>
          <w:fldChar w:fldCharType="end"/>
        </w:r>
      </w:hyperlink>
    </w:p>
    <w:p w14:paraId="3B0F36D7" w14:textId="77777777" w:rsidR="008A4461" w:rsidRPr="002D5C87" w:rsidRDefault="004F6B28" w:rsidP="002347F7">
      <w:pPr>
        <w:pStyle w:val="TableofFigures"/>
        <w:tabs>
          <w:tab w:val="right" w:leader="dot" w:pos="9062"/>
        </w:tabs>
        <w:rPr>
          <w:b/>
          <w:sz w:val="28"/>
          <w:lang w:val="hr-HR"/>
        </w:rPr>
      </w:pPr>
      <w:r w:rsidRPr="002D5C87">
        <w:rPr>
          <w:b/>
          <w:sz w:val="28"/>
          <w:lang w:val="hr-HR"/>
        </w:rPr>
        <w:fldChar w:fldCharType="end"/>
      </w:r>
    </w:p>
    <w:p w14:paraId="51B7AEAC" w14:textId="77777777" w:rsidR="008A4461" w:rsidRPr="002D5C87" w:rsidRDefault="008A4461" w:rsidP="0035474D">
      <w:pPr>
        <w:spacing w:line="276" w:lineRule="auto"/>
        <w:rPr>
          <w:b/>
          <w:sz w:val="28"/>
          <w:lang w:val="hr-HR"/>
        </w:rPr>
        <w:sectPr w:rsidR="008A4461" w:rsidRPr="002D5C87" w:rsidSect="00CA5618">
          <w:type w:val="continuous"/>
          <w:pgSz w:w="11906" w:h="16838"/>
          <w:pgMar w:top="1417" w:right="1417" w:bottom="1417" w:left="1417" w:header="708" w:footer="708" w:gutter="0"/>
          <w:pgNumType w:start="1"/>
          <w:cols w:space="708"/>
          <w:docGrid w:linePitch="360"/>
        </w:sectPr>
      </w:pPr>
    </w:p>
    <w:p w14:paraId="0EB4CACA" w14:textId="77777777" w:rsidR="00D82212" w:rsidRPr="00F32439" w:rsidRDefault="00D82212" w:rsidP="0035474D">
      <w:pPr>
        <w:pStyle w:val="Heading1"/>
        <w:numPr>
          <w:ilvl w:val="0"/>
          <w:numId w:val="1"/>
        </w:numPr>
        <w:spacing w:after="240" w:line="276" w:lineRule="auto"/>
        <w:rPr>
          <w:lang w:val="hr-HR"/>
        </w:rPr>
      </w:pPr>
      <w:bookmarkStart w:id="1" w:name="_Toc10032419"/>
      <w:r w:rsidRPr="00F32439">
        <w:rPr>
          <w:lang w:val="hr-HR"/>
        </w:rPr>
        <w:lastRenderedPageBreak/>
        <w:t>UVOD</w:t>
      </w:r>
      <w:bookmarkEnd w:id="1"/>
    </w:p>
    <w:p w14:paraId="48D453BD" w14:textId="77777777" w:rsidR="009E4829" w:rsidRPr="009E4829" w:rsidRDefault="009E4829" w:rsidP="0035474D">
      <w:pPr>
        <w:spacing w:before="240" w:line="276" w:lineRule="auto"/>
        <w:jc w:val="both"/>
        <w:rPr>
          <w:sz w:val="24"/>
          <w:lang w:val="hr-HR"/>
        </w:rPr>
      </w:pPr>
    </w:p>
    <w:p w14:paraId="149D67E2" w14:textId="77777777" w:rsidR="0024169A" w:rsidRDefault="006D3C87" w:rsidP="0035474D">
      <w:pPr>
        <w:spacing w:before="240" w:line="276" w:lineRule="auto"/>
        <w:jc w:val="both"/>
        <w:rPr>
          <w:sz w:val="24"/>
          <w:lang w:val="hr-HR"/>
        </w:rPr>
      </w:pPr>
      <w:r>
        <w:rPr>
          <w:sz w:val="24"/>
          <w:lang w:val="hr-HR"/>
        </w:rPr>
        <w:t>U posljednje tri godine na području javnih financija ostvaren je značajni napredak.</w:t>
      </w:r>
      <w:r w:rsidR="009838E3">
        <w:rPr>
          <w:sz w:val="24"/>
          <w:lang w:val="hr-HR"/>
        </w:rPr>
        <w:t xml:space="preserve"> </w:t>
      </w:r>
      <w:r w:rsidR="00B25EE8">
        <w:rPr>
          <w:sz w:val="24"/>
          <w:lang w:val="hr-HR"/>
        </w:rPr>
        <w:t xml:space="preserve">Izlazak iz šestogodišnje gospodarske recesije tijekom 2015. te provedena fiskalna konsolidacija u 2016. bili su ključni prilikom odlučivanja Vijeća Europske unije da </w:t>
      </w:r>
      <w:r w:rsidR="006E5738">
        <w:rPr>
          <w:sz w:val="24"/>
          <w:lang w:val="hr-HR"/>
        </w:rPr>
        <w:t xml:space="preserve">Republika Hrvatska (u daljnjem tekstu: </w:t>
      </w:r>
      <w:r w:rsidR="00B25EE8">
        <w:rPr>
          <w:sz w:val="24"/>
          <w:lang w:val="hr-HR"/>
        </w:rPr>
        <w:t>RH</w:t>
      </w:r>
      <w:r w:rsidR="006E5738">
        <w:rPr>
          <w:sz w:val="24"/>
          <w:lang w:val="hr-HR"/>
        </w:rPr>
        <w:t>)</w:t>
      </w:r>
      <w:r w:rsidR="00B25EE8">
        <w:rPr>
          <w:sz w:val="24"/>
          <w:lang w:val="hr-HR"/>
        </w:rPr>
        <w:t xml:space="preserve"> u lipnju 2017. godine iziđe iz procedure prekomjernog proračunskog manjka. </w:t>
      </w:r>
      <w:r w:rsidR="00C674A8">
        <w:rPr>
          <w:sz w:val="24"/>
          <w:lang w:val="hr-HR"/>
        </w:rPr>
        <w:t>Naime, u 2016. proračunski manjak je smanjen na 1% BDP-a, a javni dug na 80,5% BDP-a. Tijekom 2017. i 2018. godine nastavljena su pozitivna kretanja ekonomske aktivnosti te je u</w:t>
      </w:r>
      <w:r w:rsidR="009838E3">
        <w:rPr>
          <w:sz w:val="24"/>
          <w:lang w:val="hr-HR"/>
        </w:rPr>
        <w:t xml:space="preserve">slijed provedene porezne reforme i racionalne proračunske potrošnje, </w:t>
      </w:r>
      <w:r w:rsidR="00C674A8">
        <w:rPr>
          <w:sz w:val="24"/>
          <w:lang w:val="hr-HR"/>
        </w:rPr>
        <w:t>ostvaren</w:t>
      </w:r>
      <w:r w:rsidR="009838E3">
        <w:rPr>
          <w:sz w:val="24"/>
          <w:lang w:val="hr-HR"/>
        </w:rPr>
        <w:t xml:space="preserve"> proračunski višak </w:t>
      </w:r>
      <w:r w:rsidR="00C674A8">
        <w:rPr>
          <w:sz w:val="24"/>
          <w:lang w:val="hr-HR"/>
        </w:rPr>
        <w:t xml:space="preserve">u obje godine i to </w:t>
      </w:r>
      <w:r w:rsidR="009838E3">
        <w:rPr>
          <w:sz w:val="24"/>
          <w:lang w:val="hr-HR"/>
        </w:rPr>
        <w:t>od 0,8% BDP-a</w:t>
      </w:r>
      <w:r w:rsidR="008E7550">
        <w:rPr>
          <w:sz w:val="24"/>
          <w:lang w:val="hr-HR"/>
        </w:rPr>
        <w:t>,</w:t>
      </w:r>
      <w:r w:rsidR="009838E3">
        <w:rPr>
          <w:sz w:val="24"/>
          <w:lang w:val="hr-HR"/>
        </w:rPr>
        <w:t xml:space="preserve"> odnosno 0,2% BDP-a. </w:t>
      </w:r>
      <w:r w:rsidR="0024169A">
        <w:rPr>
          <w:sz w:val="24"/>
          <w:lang w:val="hr-HR"/>
        </w:rPr>
        <w:t>Ovaj posljednji</w:t>
      </w:r>
      <w:r w:rsidR="0024169A" w:rsidRPr="0024169A">
        <w:rPr>
          <w:sz w:val="24"/>
          <w:lang w:val="hr-HR"/>
        </w:rPr>
        <w:t xml:space="preserve"> bio bi još i veći da se nisu materijalizirale jednokratne obveze po osnovi protestiranih jamstava za Uljanik grupu i to u iznosu od 2,5 milijardi kuna, odnosno 0,7% BDP-a.</w:t>
      </w:r>
    </w:p>
    <w:p w14:paraId="75A703FE" w14:textId="77777777" w:rsidR="00E4502A" w:rsidRDefault="0024169A" w:rsidP="0035474D">
      <w:pPr>
        <w:spacing w:before="240" w:line="276" w:lineRule="auto"/>
        <w:jc w:val="both"/>
      </w:pPr>
      <w:r>
        <w:rPr>
          <w:sz w:val="24"/>
          <w:lang w:val="hr-HR"/>
        </w:rPr>
        <w:t>Ovakva pozitivna fiskalna kretanja utjecala su i na smanjenje udjela javnog duga u BDP-u i to</w:t>
      </w:r>
      <w:r w:rsidR="009838E3">
        <w:rPr>
          <w:sz w:val="24"/>
          <w:lang w:val="hr-HR"/>
        </w:rPr>
        <w:t xml:space="preserve"> za više od 9 postotnih bodova odnosno s 83,7% BDP-a krajem 2015. na 74,6% BDP-a u 2018. godini.</w:t>
      </w:r>
      <w:r w:rsidR="00FF65B5">
        <w:rPr>
          <w:sz w:val="24"/>
          <w:lang w:val="hr-HR"/>
        </w:rPr>
        <w:t xml:space="preserve"> </w:t>
      </w:r>
      <w:r w:rsidR="00A95D1C">
        <w:rPr>
          <w:sz w:val="24"/>
          <w:lang w:val="hr-HR"/>
        </w:rPr>
        <w:t>U isto vrijeme, poboljšani uvjeti zaduživanja na domaćem i međunarodnom financijskom tržištu, uz a</w:t>
      </w:r>
      <w:r w:rsidR="00FF65B5" w:rsidRPr="00FF65B5">
        <w:rPr>
          <w:sz w:val="24"/>
          <w:lang w:val="hr-HR"/>
        </w:rPr>
        <w:t>ktivn</w:t>
      </w:r>
      <w:r w:rsidR="00A95D1C">
        <w:rPr>
          <w:sz w:val="24"/>
          <w:lang w:val="hr-HR"/>
        </w:rPr>
        <w:t>u</w:t>
      </w:r>
      <w:r w:rsidR="00FF65B5" w:rsidRPr="00FF65B5">
        <w:rPr>
          <w:sz w:val="24"/>
          <w:lang w:val="hr-HR"/>
        </w:rPr>
        <w:t xml:space="preserve"> politik</w:t>
      </w:r>
      <w:r w:rsidR="00A95D1C">
        <w:rPr>
          <w:sz w:val="24"/>
          <w:lang w:val="hr-HR"/>
        </w:rPr>
        <w:t>u</w:t>
      </w:r>
      <w:r w:rsidR="00FF65B5" w:rsidRPr="00FF65B5">
        <w:rPr>
          <w:sz w:val="24"/>
          <w:lang w:val="hr-HR"/>
        </w:rPr>
        <w:t xml:space="preserve"> upravljanja javnim dugom</w:t>
      </w:r>
      <w:r>
        <w:rPr>
          <w:sz w:val="24"/>
          <w:lang w:val="hr-HR"/>
        </w:rPr>
        <w:t xml:space="preserve">, </w:t>
      </w:r>
      <w:r w:rsidR="00A95D1C">
        <w:rPr>
          <w:sz w:val="24"/>
          <w:lang w:val="hr-HR"/>
        </w:rPr>
        <w:t>doprinijeli su i</w:t>
      </w:r>
      <w:r>
        <w:rPr>
          <w:sz w:val="24"/>
          <w:lang w:val="hr-HR"/>
        </w:rPr>
        <w:t xml:space="preserve"> </w:t>
      </w:r>
      <w:r w:rsidR="00FF65B5" w:rsidRPr="00FF65B5">
        <w:rPr>
          <w:sz w:val="24"/>
          <w:lang w:val="hr-HR"/>
        </w:rPr>
        <w:t>smanjenj</w:t>
      </w:r>
      <w:r w:rsidR="00A95D1C">
        <w:rPr>
          <w:sz w:val="24"/>
          <w:lang w:val="hr-HR"/>
        </w:rPr>
        <w:t>u</w:t>
      </w:r>
      <w:r w:rsidR="00FF65B5" w:rsidRPr="00FF65B5">
        <w:rPr>
          <w:sz w:val="24"/>
          <w:lang w:val="hr-HR"/>
        </w:rPr>
        <w:t xml:space="preserve"> rashoda za kamate </w:t>
      </w:r>
      <w:r>
        <w:rPr>
          <w:sz w:val="24"/>
          <w:lang w:val="hr-HR"/>
        </w:rPr>
        <w:t>i to za</w:t>
      </w:r>
      <w:r w:rsidR="00FF65B5" w:rsidRPr="00FF65B5">
        <w:rPr>
          <w:sz w:val="24"/>
          <w:lang w:val="hr-HR"/>
        </w:rPr>
        <w:t xml:space="preserve"> gotovo 3 milijarde kuna. Sve navedeno rezultiralo je primarnim fiskalnim viškom od prosječnih 2,7% BDP-a u </w:t>
      </w:r>
      <w:r w:rsidR="00B25EE8">
        <w:rPr>
          <w:sz w:val="24"/>
          <w:lang w:val="hr-HR"/>
        </w:rPr>
        <w:t>promatranom razdoblju.</w:t>
      </w:r>
      <w:r w:rsidR="00E4502A" w:rsidRPr="00E4502A">
        <w:t xml:space="preserve"> </w:t>
      </w:r>
    </w:p>
    <w:p w14:paraId="23511EA3" w14:textId="77777777" w:rsidR="00E4502A" w:rsidRDefault="00A9492D" w:rsidP="00E4502A">
      <w:pPr>
        <w:spacing w:before="240" w:line="276" w:lineRule="auto"/>
        <w:jc w:val="both"/>
        <w:rPr>
          <w:sz w:val="24"/>
          <w:lang w:val="hr-HR"/>
        </w:rPr>
      </w:pPr>
      <w:r>
        <w:rPr>
          <w:sz w:val="24"/>
          <w:lang w:val="hr-HR"/>
        </w:rPr>
        <w:t>P</w:t>
      </w:r>
      <w:r w:rsidR="00E4502A">
        <w:rPr>
          <w:sz w:val="24"/>
          <w:lang w:val="hr-HR"/>
        </w:rPr>
        <w:t xml:space="preserve">rema izvješću Europske komisije iz veljače </w:t>
      </w:r>
      <w:r w:rsidR="0007582E">
        <w:rPr>
          <w:sz w:val="24"/>
          <w:lang w:val="hr-HR"/>
        </w:rPr>
        <w:t>2019.</w:t>
      </w:r>
      <w:r w:rsidR="00E4502A">
        <w:rPr>
          <w:sz w:val="24"/>
          <w:lang w:val="hr-HR"/>
        </w:rPr>
        <w:t xml:space="preserve"> godine</w:t>
      </w:r>
      <w:r>
        <w:rPr>
          <w:sz w:val="24"/>
          <w:lang w:val="hr-HR"/>
        </w:rPr>
        <w:t>,</w:t>
      </w:r>
      <w:r w:rsidR="00E4502A">
        <w:rPr>
          <w:sz w:val="24"/>
          <w:lang w:val="hr-HR"/>
        </w:rPr>
        <w:t xml:space="preserve"> RH </w:t>
      </w:r>
      <w:r w:rsidR="00E4502A" w:rsidRPr="00E4502A">
        <w:rPr>
          <w:sz w:val="24"/>
          <w:lang w:val="hr-HR"/>
        </w:rPr>
        <w:t>napredovala</w:t>
      </w:r>
      <w:r>
        <w:rPr>
          <w:sz w:val="24"/>
          <w:lang w:val="hr-HR"/>
        </w:rPr>
        <w:t xml:space="preserve"> je</w:t>
      </w:r>
      <w:r w:rsidR="00E4502A" w:rsidRPr="00E4502A">
        <w:rPr>
          <w:sz w:val="24"/>
          <w:lang w:val="hr-HR"/>
        </w:rPr>
        <w:t xml:space="preserve"> iz kategorije prekomjernih makroekonomskih neravnoteža u kategoriju makroekonomskih neravnoteža.</w:t>
      </w:r>
      <w:r w:rsidR="00E4502A">
        <w:rPr>
          <w:sz w:val="24"/>
          <w:lang w:val="hr-HR"/>
        </w:rPr>
        <w:t xml:space="preserve"> Pritom je </w:t>
      </w:r>
      <w:r>
        <w:rPr>
          <w:sz w:val="24"/>
          <w:lang w:val="hr-HR"/>
        </w:rPr>
        <w:t>ocijenjen pozitivan</w:t>
      </w:r>
      <w:r w:rsidR="00E4502A">
        <w:rPr>
          <w:sz w:val="24"/>
          <w:lang w:val="hr-HR"/>
        </w:rPr>
        <w:t xml:space="preserve"> napredak u području jačanja </w:t>
      </w:r>
      <w:r w:rsidR="00E4502A" w:rsidRPr="00E4502A">
        <w:rPr>
          <w:sz w:val="24"/>
          <w:lang w:val="hr-HR"/>
        </w:rPr>
        <w:t>fiskalnog okvira</w:t>
      </w:r>
      <w:r w:rsidR="002562F9">
        <w:rPr>
          <w:sz w:val="24"/>
          <w:lang w:val="hr-HR"/>
        </w:rPr>
        <w:t xml:space="preserve">, ali i u reformama </w:t>
      </w:r>
      <w:r w:rsidR="00E4502A" w:rsidRPr="00E4502A">
        <w:rPr>
          <w:sz w:val="24"/>
          <w:lang w:val="hr-HR"/>
        </w:rPr>
        <w:t>poreznog</w:t>
      </w:r>
      <w:r w:rsidR="002562F9">
        <w:rPr>
          <w:sz w:val="24"/>
          <w:lang w:val="hr-HR"/>
        </w:rPr>
        <w:t xml:space="preserve">, mirovinskog, obrazovnog i pravosudnog </w:t>
      </w:r>
      <w:r w:rsidR="00E4502A" w:rsidRPr="00E4502A">
        <w:rPr>
          <w:sz w:val="24"/>
          <w:lang w:val="hr-HR"/>
        </w:rPr>
        <w:t>sustava</w:t>
      </w:r>
      <w:r w:rsidR="002562F9">
        <w:rPr>
          <w:sz w:val="24"/>
          <w:lang w:val="hr-HR"/>
        </w:rPr>
        <w:t xml:space="preserve">. Također, smanjene su i prepreke </w:t>
      </w:r>
      <w:r w:rsidR="00E4502A" w:rsidRPr="00E4502A">
        <w:rPr>
          <w:sz w:val="24"/>
          <w:lang w:val="hr-HR"/>
        </w:rPr>
        <w:t>poduzetništvu</w:t>
      </w:r>
      <w:r w:rsidR="002562F9">
        <w:rPr>
          <w:sz w:val="24"/>
          <w:lang w:val="hr-HR"/>
        </w:rPr>
        <w:t>.</w:t>
      </w:r>
    </w:p>
    <w:p w14:paraId="7A111453" w14:textId="77777777" w:rsidR="00E4502A" w:rsidRPr="00E4502A" w:rsidRDefault="00A9492D" w:rsidP="00E4502A">
      <w:pPr>
        <w:spacing w:before="240" w:line="276" w:lineRule="auto"/>
        <w:jc w:val="both"/>
        <w:rPr>
          <w:sz w:val="24"/>
          <w:lang w:val="hr-HR"/>
        </w:rPr>
      </w:pPr>
      <w:r>
        <w:rPr>
          <w:sz w:val="24"/>
          <w:lang w:val="hr-HR"/>
        </w:rPr>
        <w:t xml:space="preserve">Sve spomenute </w:t>
      </w:r>
      <w:r w:rsidR="002562F9">
        <w:rPr>
          <w:sz w:val="24"/>
          <w:lang w:val="hr-HR"/>
        </w:rPr>
        <w:t xml:space="preserve">rezultate </w:t>
      </w:r>
      <w:r w:rsidR="003D71E5">
        <w:rPr>
          <w:sz w:val="24"/>
          <w:lang w:val="hr-HR"/>
        </w:rPr>
        <w:t xml:space="preserve">ponajprije su </w:t>
      </w:r>
      <w:r w:rsidR="00E46774">
        <w:rPr>
          <w:sz w:val="24"/>
          <w:lang w:val="hr-HR"/>
        </w:rPr>
        <w:t xml:space="preserve">prepoznala financijska tržišta pa se tako </w:t>
      </w:r>
      <w:r w:rsidR="00E46774" w:rsidRPr="00E46774">
        <w:rPr>
          <w:sz w:val="24"/>
          <w:lang w:val="hr-HR"/>
        </w:rPr>
        <w:t xml:space="preserve">premija osiguranja od kreditnog rizika </w:t>
      </w:r>
      <w:r w:rsidR="00E46774">
        <w:rPr>
          <w:sz w:val="24"/>
          <w:lang w:val="hr-HR"/>
        </w:rPr>
        <w:t xml:space="preserve">u protekle tri godine </w:t>
      </w:r>
      <w:r w:rsidR="00E46774" w:rsidRPr="00E46774">
        <w:rPr>
          <w:sz w:val="24"/>
          <w:lang w:val="hr-HR"/>
        </w:rPr>
        <w:t>približila premijama usporedivih zemalja iz središnje i istočne Europe</w:t>
      </w:r>
      <w:r w:rsidR="00E46774">
        <w:rPr>
          <w:sz w:val="24"/>
          <w:lang w:val="hr-HR"/>
        </w:rPr>
        <w:t>. Uz to, r</w:t>
      </w:r>
      <w:r w:rsidR="002562F9" w:rsidRPr="002562F9">
        <w:rPr>
          <w:sz w:val="24"/>
          <w:lang w:val="hr-HR"/>
        </w:rPr>
        <w:t>ejting agencij</w:t>
      </w:r>
      <w:r>
        <w:rPr>
          <w:sz w:val="24"/>
          <w:lang w:val="hr-HR"/>
        </w:rPr>
        <w:t>e</w:t>
      </w:r>
      <w:r w:rsidR="002562F9" w:rsidRPr="002562F9">
        <w:rPr>
          <w:sz w:val="24"/>
          <w:lang w:val="hr-HR"/>
        </w:rPr>
        <w:t xml:space="preserve"> Fitch </w:t>
      </w:r>
      <w:r w:rsidR="002562F9">
        <w:rPr>
          <w:sz w:val="24"/>
          <w:lang w:val="hr-HR"/>
        </w:rPr>
        <w:t xml:space="preserve">i </w:t>
      </w:r>
      <w:r w:rsidR="002562F9" w:rsidRPr="002562F9">
        <w:rPr>
          <w:sz w:val="24"/>
          <w:lang w:val="hr-HR"/>
        </w:rPr>
        <w:t xml:space="preserve">S&amp;P </w:t>
      </w:r>
      <w:r w:rsidR="0081551E">
        <w:rPr>
          <w:sz w:val="24"/>
          <w:lang w:val="hr-HR"/>
        </w:rPr>
        <w:t xml:space="preserve">su </w:t>
      </w:r>
      <w:r w:rsidR="00E46774">
        <w:rPr>
          <w:sz w:val="24"/>
          <w:lang w:val="hr-HR"/>
        </w:rPr>
        <w:t>prvo u</w:t>
      </w:r>
      <w:r w:rsidR="002562F9" w:rsidRPr="002562F9">
        <w:rPr>
          <w:sz w:val="24"/>
          <w:lang w:val="hr-HR"/>
        </w:rPr>
        <w:t xml:space="preserve"> siječnju</w:t>
      </w:r>
      <w:r w:rsidR="00E46774">
        <w:rPr>
          <w:sz w:val="24"/>
          <w:lang w:val="hr-HR"/>
        </w:rPr>
        <w:t xml:space="preserve">, a onda </w:t>
      </w:r>
      <w:r w:rsidR="002562F9">
        <w:rPr>
          <w:sz w:val="24"/>
          <w:lang w:val="hr-HR"/>
        </w:rPr>
        <w:t xml:space="preserve">i </w:t>
      </w:r>
      <w:r w:rsidR="00E46774">
        <w:rPr>
          <w:sz w:val="24"/>
          <w:lang w:val="hr-HR"/>
        </w:rPr>
        <w:t xml:space="preserve">u </w:t>
      </w:r>
      <w:r w:rsidR="002562F9">
        <w:rPr>
          <w:sz w:val="24"/>
          <w:lang w:val="hr-HR"/>
        </w:rPr>
        <w:t xml:space="preserve">ožujku </w:t>
      </w:r>
      <w:r w:rsidR="002562F9" w:rsidRPr="002562F9">
        <w:rPr>
          <w:sz w:val="24"/>
          <w:lang w:val="hr-HR"/>
        </w:rPr>
        <w:t>2018. godine poboljšal</w:t>
      </w:r>
      <w:r>
        <w:rPr>
          <w:sz w:val="24"/>
          <w:lang w:val="hr-HR"/>
        </w:rPr>
        <w:t>e</w:t>
      </w:r>
      <w:r w:rsidR="0081551E">
        <w:rPr>
          <w:sz w:val="24"/>
          <w:lang w:val="hr-HR"/>
        </w:rPr>
        <w:t xml:space="preserve"> </w:t>
      </w:r>
      <w:r w:rsidR="002562F9" w:rsidRPr="002562F9">
        <w:rPr>
          <w:sz w:val="24"/>
          <w:lang w:val="hr-HR"/>
        </w:rPr>
        <w:t xml:space="preserve">kreditni rejting </w:t>
      </w:r>
      <w:r w:rsidR="002562F9">
        <w:rPr>
          <w:sz w:val="24"/>
          <w:lang w:val="hr-HR"/>
        </w:rPr>
        <w:t>RH</w:t>
      </w:r>
      <w:r w:rsidR="002562F9" w:rsidRPr="002562F9">
        <w:rPr>
          <w:sz w:val="24"/>
          <w:lang w:val="hr-HR"/>
        </w:rPr>
        <w:t xml:space="preserve"> s 'BB' na 'BB+' uz stabilne izglede</w:t>
      </w:r>
      <w:r w:rsidR="00E46774">
        <w:rPr>
          <w:sz w:val="24"/>
          <w:lang w:val="hr-HR"/>
        </w:rPr>
        <w:t>. K</w:t>
      </w:r>
      <w:r>
        <w:rPr>
          <w:sz w:val="24"/>
          <w:lang w:val="hr-HR"/>
        </w:rPr>
        <w:t xml:space="preserve">rajem </w:t>
      </w:r>
      <w:r w:rsidR="00E4502A" w:rsidRPr="00E4502A">
        <w:rPr>
          <w:sz w:val="24"/>
          <w:lang w:val="hr-HR"/>
        </w:rPr>
        <w:t xml:space="preserve">ožujka 2019. godine rejting agencija S&amp;P </w:t>
      </w:r>
      <w:r>
        <w:rPr>
          <w:sz w:val="24"/>
          <w:lang w:val="hr-HR"/>
        </w:rPr>
        <w:t xml:space="preserve">ponovno </w:t>
      </w:r>
      <w:r w:rsidR="00E46774">
        <w:rPr>
          <w:sz w:val="24"/>
          <w:lang w:val="hr-HR"/>
        </w:rPr>
        <w:t xml:space="preserve">je </w:t>
      </w:r>
      <w:r>
        <w:rPr>
          <w:sz w:val="24"/>
          <w:lang w:val="hr-HR"/>
        </w:rPr>
        <w:t>podigla</w:t>
      </w:r>
      <w:r w:rsidR="002562F9">
        <w:rPr>
          <w:sz w:val="24"/>
          <w:lang w:val="hr-HR"/>
        </w:rPr>
        <w:t xml:space="preserve"> </w:t>
      </w:r>
      <w:r w:rsidR="00E4502A" w:rsidRPr="00E4502A">
        <w:rPr>
          <w:sz w:val="24"/>
          <w:lang w:val="hr-HR"/>
        </w:rPr>
        <w:t>kreditni rejting RH</w:t>
      </w:r>
      <w:r w:rsidR="00E46774">
        <w:rPr>
          <w:sz w:val="24"/>
          <w:lang w:val="hr-HR"/>
        </w:rPr>
        <w:t>, ali ovaj put</w:t>
      </w:r>
      <w:r w:rsidR="00E4502A" w:rsidRPr="00E4502A">
        <w:rPr>
          <w:sz w:val="24"/>
          <w:lang w:val="hr-HR"/>
        </w:rPr>
        <w:t xml:space="preserve"> na razinu investicijskog </w:t>
      </w:r>
      <w:r w:rsidR="00E46774">
        <w:rPr>
          <w:sz w:val="24"/>
          <w:lang w:val="hr-HR"/>
        </w:rPr>
        <w:t xml:space="preserve">i to </w:t>
      </w:r>
      <w:r w:rsidR="00E4502A" w:rsidRPr="00E4502A">
        <w:rPr>
          <w:sz w:val="24"/>
          <w:lang w:val="hr-HR"/>
        </w:rPr>
        <w:t xml:space="preserve">s BB+/B na BBB-/A-3. </w:t>
      </w:r>
    </w:p>
    <w:p w14:paraId="7C45AE6F" w14:textId="77777777" w:rsidR="00E46774" w:rsidRDefault="00E4502A" w:rsidP="00E4502A">
      <w:pPr>
        <w:spacing w:before="240" w:line="276" w:lineRule="auto"/>
        <w:jc w:val="both"/>
        <w:rPr>
          <w:sz w:val="24"/>
          <w:lang w:val="hr-HR"/>
        </w:rPr>
      </w:pPr>
      <w:r w:rsidRPr="00E4502A">
        <w:rPr>
          <w:sz w:val="24"/>
          <w:lang w:val="hr-HR"/>
        </w:rPr>
        <w:t xml:space="preserve">Usprkos ovakvim pozitivnim pokazateljima, gospodarstvo zemlje i dalje karakteriziraju izazovi vezano uz nizak potencijalni rast, visoku nominalnu razinu javnog duga te prisutne makroekonomske neravnoteže. </w:t>
      </w:r>
      <w:r w:rsidR="005B7691">
        <w:rPr>
          <w:sz w:val="24"/>
          <w:lang w:val="hr-HR"/>
        </w:rPr>
        <w:t xml:space="preserve">Stoga </w:t>
      </w:r>
      <w:r w:rsidR="00E46774">
        <w:rPr>
          <w:sz w:val="24"/>
          <w:lang w:val="hr-HR"/>
        </w:rPr>
        <w:t>će se</w:t>
      </w:r>
      <w:r w:rsidR="005B7691">
        <w:rPr>
          <w:sz w:val="24"/>
          <w:lang w:val="hr-HR"/>
        </w:rPr>
        <w:t xml:space="preserve"> u narednom razdoblju </w:t>
      </w:r>
      <w:r w:rsidR="00E46774">
        <w:rPr>
          <w:sz w:val="24"/>
          <w:lang w:val="hr-HR"/>
        </w:rPr>
        <w:t>ekonomska politika Vlade RH usmjeriti na tri stupa: visoko-kvalitetne investicije, učinkovite strukturne reforme te makroekonomsku</w:t>
      </w:r>
      <w:r w:rsidR="000C32F5">
        <w:rPr>
          <w:sz w:val="24"/>
          <w:lang w:val="hr-HR"/>
        </w:rPr>
        <w:t xml:space="preserve"> stabilnost i održive javne financije. Time </w:t>
      </w:r>
      <w:r w:rsidR="000C32F5" w:rsidRPr="000C32F5">
        <w:rPr>
          <w:sz w:val="24"/>
          <w:lang w:val="hr-HR"/>
        </w:rPr>
        <w:t>će</w:t>
      </w:r>
      <w:r w:rsidR="000C32F5">
        <w:rPr>
          <w:sz w:val="24"/>
          <w:lang w:val="hr-HR"/>
        </w:rPr>
        <w:t xml:space="preserve"> se </w:t>
      </w:r>
      <w:r w:rsidR="000C32F5" w:rsidRPr="000C32F5">
        <w:rPr>
          <w:sz w:val="24"/>
          <w:lang w:val="hr-HR"/>
        </w:rPr>
        <w:t>stvoriti preduvjet</w:t>
      </w:r>
      <w:r w:rsidR="000C32F5">
        <w:rPr>
          <w:sz w:val="24"/>
          <w:lang w:val="hr-HR"/>
        </w:rPr>
        <w:t>i</w:t>
      </w:r>
      <w:r w:rsidR="000C32F5" w:rsidRPr="000C32F5">
        <w:rPr>
          <w:sz w:val="24"/>
          <w:lang w:val="hr-HR"/>
        </w:rPr>
        <w:t xml:space="preserve"> za snažniji i trajniji ekonomski rast te realnu konvergenciju posebice prema zemljama </w:t>
      </w:r>
      <w:r w:rsidR="003D71E5">
        <w:rPr>
          <w:sz w:val="24"/>
          <w:lang w:val="hr-HR"/>
        </w:rPr>
        <w:t xml:space="preserve">eurozone, </w:t>
      </w:r>
      <w:r w:rsidR="003D71E5">
        <w:rPr>
          <w:sz w:val="24"/>
          <w:lang w:val="hr-HR"/>
        </w:rPr>
        <w:lastRenderedPageBreak/>
        <w:t>što će ujedno pridonijeti i</w:t>
      </w:r>
      <w:r w:rsidR="000C32F5" w:rsidRPr="000C32F5">
        <w:rPr>
          <w:sz w:val="24"/>
          <w:lang w:val="hr-HR"/>
        </w:rPr>
        <w:t xml:space="preserve"> uspješnom ispunjenju </w:t>
      </w:r>
      <w:r w:rsidR="003D71E5">
        <w:rPr>
          <w:sz w:val="24"/>
          <w:lang w:val="hr-HR"/>
        </w:rPr>
        <w:t>kriterija</w:t>
      </w:r>
      <w:r w:rsidR="000C32F5" w:rsidRPr="000C32F5">
        <w:rPr>
          <w:sz w:val="24"/>
          <w:lang w:val="hr-HR"/>
        </w:rPr>
        <w:t xml:space="preserve"> za ulazak u ERM II mehanizam</w:t>
      </w:r>
      <w:r w:rsidR="003D71E5">
        <w:rPr>
          <w:sz w:val="24"/>
          <w:lang w:val="hr-HR"/>
        </w:rPr>
        <w:t xml:space="preserve">, a </w:t>
      </w:r>
      <w:r w:rsidR="000C32F5" w:rsidRPr="000C32F5">
        <w:rPr>
          <w:sz w:val="24"/>
          <w:lang w:val="hr-HR"/>
        </w:rPr>
        <w:t xml:space="preserve">potom i </w:t>
      </w:r>
      <w:r w:rsidR="003D71E5">
        <w:rPr>
          <w:sz w:val="24"/>
          <w:lang w:val="hr-HR"/>
        </w:rPr>
        <w:t xml:space="preserve">za </w:t>
      </w:r>
      <w:r w:rsidR="000C32F5" w:rsidRPr="000C32F5">
        <w:rPr>
          <w:sz w:val="24"/>
          <w:lang w:val="hr-HR"/>
        </w:rPr>
        <w:t xml:space="preserve">uvođenje eura kao nacionalne valute, što je također jedan od ključnih strateških ciljeva Vlade RH. </w:t>
      </w:r>
      <w:r w:rsidR="00E46774">
        <w:rPr>
          <w:sz w:val="24"/>
          <w:lang w:val="hr-HR"/>
        </w:rPr>
        <w:t xml:space="preserve"> </w:t>
      </w:r>
    </w:p>
    <w:p w14:paraId="1841C2F3" w14:textId="02BF2360" w:rsidR="00467A3F" w:rsidRPr="00716782" w:rsidRDefault="0038460A" w:rsidP="0035474D">
      <w:pPr>
        <w:spacing w:before="240" w:line="276" w:lineRule="auto"/>
        <w:jc w:val="both"/>
        <w:rPr>
          <w:lang w:val="hr-HR"/>
        </w:rPr>
      </w:pPr>
      <w:r w:rsidRPr="00716782">
        <w:rPr>
          <w:sz w:val="24"/>
          <w:szCs w:val="24"/>
          <w:lang w:val="hr-HR"/>
        </w:rPr>
        <w:t>Strategija upravljanja javnim dugom za razdoblje 201</w:t>
      </w:r>
      <w:r w:rsidR="00716782" w:rsidRPr="00716782">
        <w:rPr>
          <w:sz w:val="24"/>
          <w:szCs w:val="24"/>
          <w:lang w:val="hr-HR"/>
        </w:rPr>
        <w:t>9</w:t>
      </w:r>
      <w:r w:rsidRPr="00716782">
        <w:rPr>
          <w:sz w:val="24"/>
          <w:szCs w:val="24"/>
          <w:lang w:val="hr-HR"/>
        </w:rPr>
        <w:t>. - 202</w:t>
      </w:r>
      <w:r w:rsidR="00716782" w:rsidRPr="00716782">
        <w:rPr>
          <w:sz w:val="24"/>
          <w:szCs w:val="24"/>
          <w:lang w:val="hr-HR"/>
        </w:rPr>
        <w:t>1</w:t>
      </w:r>
      <w:r w:rsidRPr="00716782">
        <w:rPr>
          <w:sz w:val="24"/>
          <w:szCs w:val="24"/>
          <w:lang w:val="hr-HR"/>
        </w:rPr>
        <w:t>.</w:t>
      </w:r>
      <w:r w:rsidR="00716782" w:rsidRPr="00716782">
        <w:rPr>
          <w:sz w:val="24"/>
          <w:szCs w:val="24"/>
          <w:lang w:val="hr-HR"/>
        </w:rPr>
        <w:t xml:space="preserve"> (u daljnjem tekstu : Strategija)</w:t>
      </w:r>
      <w:r w:rsidRPr="00716782">
        <w:rPr>
          <w:sz w:val="24"/>
          <w:szCs w:val="24"/>
          <w:lang w:val="hr-HR"/>
        </w:rPr>
        <w:t xml:space="preserve"> </w:t>
      </w:r>
      <w:r w:rsidR="00FB3276">
        <w:rPr>
          <w:sz w:val="24"/>
          <w:szCs w:val="24"/>
          <w:lang w:val="hr-HR"/>
        </w:rPr>
        <w:t>naslanja se</w:t>
      </w:r>
      <w:r w:rsidR="00FB3276" w:rsidRPr="00716782">
        <w:rPr>
          <w:sz w:val="24"/>
          <w:szCs w:val="24"/>
          <w:lang w:val="hr-HR"/>
        </w:rPr>
        <w:t xml:space="preserve"> </w:t>
      </w:r>
      <w:r w:rsidR="00FB3276">
        <w:rPr>
          <w:sz w:val="24"/>
          <w:szCs w:val="24"/>
          <w:lang w:val="hr-HR"/>
        </w:rPr>
        <w:t xml:space="preserve">na </w:t>
      </w:r>
      <w:r w:rsidRPr="00716782">
        <w:rPr>
          <w:sz w:val="24"/>
          <w:szCs w:val="24"/>
          <w:lang w:val="hr-HR"/>
        </w:rPr>
        <w:t>osnovne ciljeve i provedbene metode unapređenja održivosti ukupnog javnog duga i ublažavanja povezanih rizika</w:t>
      </w:r>
      <w:r w:rsidR="00FB3276">
        <w:rPr>
          <w:sz w:val="24"/>
          <w:szCs w:val="24"/>
          <w:lang w:val="hr-HR"/>
        </w:rPr>
        <w:t xml:space="preserve"> definiranih u prošlogodišnjoj Strategiji upravljanja javnim dugom</w:t>
      </w:r>
      <w:r w:rsidRPr="00716782">
        <w:rPr>
          <w:sz w:val="24"/>
          <w:szCs w:val="24"/>
          <w:lang w:val="hr-HR"/>
        </w:rPr>
        <w:t>. Uz detaljne prikaze povijesnog kretanja i strukture javnog duga, trogodišnjih projekcija i načela ostvarenja utvrđenih planova financiranja, Strategija identificira i provedbene rizike te načela njihovog ublažavanja, s naglaskom u područjima</w:t>
      </w:r>
      <w:r w:rsidRPr="00716782">
        <w:rPr>
          <w:lang w:val="hr-HR"/>
        </w:rPr>
        <w:t xml:space="preserve">: </w:t>
      </w:r>
    </w:p>
    <w:p w14:paraId="2DE0AA09" w14:textId="77777777" w:rsidR="006B2F1F" w:rsidRPr="00716782" w:rsidRDefault="00467A3F" w:rsidP="005A7792">
      <w:pPr>
        <w:pStyle w:val="ListParagraph"/>
        <w:numPr>
          <w:ilvl w:val="0"/>
          <w:numId w:val="38"/>
        </w:numPr>
        <w:spacing w:line="276" w:lineRule="auto"/>
        <w:jc w:val="both"/>
        <w:rPr>
          <w:sz w:val="24"/>
          <w:szCs w:val="24"/>
          <w:lang w:val="hr-HR"/>
        </w:rPr>
      </w:pPr>
      <w:r w:rsidRPr="00716782">
        <w:rPr>
          <w:sz w:val="24"/>
          <w:szCs w:val="24"/>
          <w:lang w:val="hr-HR"/>
        </w:rPr>
        <w:t>pravnog i institucionalnog okvira upravljanja javnim dugom</w:t>
      </w:r>
      <w:r w:rsidR="00F924DA" w:rsidRPr="00716782">
        <w:rPr>
          <w:sz w:val="24"/>
          <w:szCs w:val="24"/>
          <w:lang w:val="hr-HR"/>
        </w:rPr>
        <w:t>,</w:t>
      </w:r>
      <w:r w:rsidRPr="00716782">
        <w:rPr>
          <w:sz w:val="24"/>
          <w:szCs w:val="24"/>
          <w:lang w:val="hr-HR"/>
        </w:rPr>
        <w:t xml:space="preserve"> </w:t>
      </w:r>
    </w:p>
    <w:p w14:paraId="1EE7F93B" w14:textId="77777777" w:rsidR="006B2F1F" w:rsidRPr="00716782" w:rsidRDefault="00467A3F" w:rsidP="005A7792">
      <w:pPr>
        <w:pStyle w:val="ListParagraph"/>
        <w:numPr>
          <w:ilvl w:val="0"/>
          <w:numId w:val="38"/>
        </w:numPr>
        <w:spacing w:line="276" w:lineRule="auto"/>
        <w:jc w:val="both"/>
        <w:rPr>
          <w:sz w:val="24"/>
          <w:szCs w:val="24"/>
          <w:lang w:val="hr-HR"/>
        </w:rPr>
      </w:pPr>
      <w:r w:rsidRPr="00716782">
        <w:rPr>
          <w:sz w:val="24"/>
          <w:szCs w:val="24"/>
          <w:lang w:val="hr-HR"/>
        </w:rPr>
        <w:t>ublažavanja rizika refinanciranja i smanjenja udjela kratkoročnog duga u ukupnom javnom dugu</w:t>
      </w:r>
      <w:r w:rsidR="00F924DA" w:rsidRPr="00716782">
        <w:rPr>
          <w:sz w:val="24"/>
          <w:szCs w:val="24"/>
          <w:lang w:val="hr-HR"/>
        </w:rPr>
        <w:t>,</w:t>
      </w:r>
      <w:r w:rsidRPr="00716782">
        <w:rPr>
          <w:sz w:val="24"/>
          <w:szCs w:val="24"/>
          <w:lang w:val="hr-HR"/>
        </w:rPr>
        <w:t xml:space="preserve"> </w:t>
      </w:r>
    </w:p>
    <w:p w14:paraId="44511DBB" w14:textId="77777777" w:rsidR="006B2F1F" w:rsidRPr="00716782" w:rsidRDefault="000B3B94" w:rsidP="005A7792">
      <w:pPr>
        <w:pStyle w:val="ListParagraph"/>
        <w:numPr>
          <w:ilvl w:val="0"/>
          <w:numId w:val="38"/>
        </w:numPr>
        <w:spacing w:line="276" w:lineRule="auto"/>
        <w:jc w:val="both"/>
        <w:rPr>
          <w:sz w:val="24"/>
          <w:szCs w:val="24"/>
          <w:lang w:val="hr-HR"/>
        </w:rPr>
      </w:pPr>
      <w:r w:rsidRPr="00716782">
        <w:rPr>
          <w:sz w:val="24"/>
          <w:szCs w:val="24"/>
          <w:lang w:val="hr-HR"/>
        </w:rPr>
        <w:t xml:space="preserve">ublažavanje </w:t>
      </w:r>
      <w:r w:rsidR="00297368" w:rsidRPr="00716782">
        <w:rPr>
          <w:sz w:val="24"/>
          <w:szCs w:val="24"/>
          <w:lang w:val="hr-HR"/>
        </w:rPr>
        <w:t>valutnog</w:t>
      </w:r>
      <w:r w:rsidRPr="00716782">
        <w:rPr>
          <w:sz w:val="24"/>
          <w:szCs w:val="24"/>
          <w:lang w:val="hr-HR"/>
        </w:rPr>
        <w:t xml:space="preserve"> rizika javnog duga</w:t>
      </w:r>
      <w:r w:rsidR="00F924DA" w:rsidRPr="00716782">
        <w:rPr>
          <w:sz w:val="24"/>
          <w:szCs w:val="24"/>
          <w:lang w:val="hr-HR"/>
        </w:rPr>
        <w:t>,</w:t>
      </w:r>
    </w:p>
    <w:p w14:paraId="76EE6BD7" w14:textId="77777777" w:rsidR="006B2F1F" w:rsidRPr="00716782" w:rsidRDefault="00467A3F" w:rsidP="005A7792">
      <w:pPr>
        <w:pStyle w:val="ListParagraph"/>
        <w:numPr>
          <w:ilvl w:val="0"/>
          <w:numId w:val="38"/>
        </w:numPr>
        <w:spacing w:line="276" w:lineRule="auto"/>
        <w:jc w:val="both"/>
        <w:rPr>
          <w:sz w:val="24"/>
          <w:szCs w:val="24"/>
          <w:lang w:val="hr-HR"/>
        </w:rPr>
      </w:pPr>
      <w:r w:rsidRPr="00716782">
        <w:rPr>
          <w:sz w:val="24"/>
          <w:szCs w:val="24"/>
          <w:lang w:val="hr-HR"/>
        </w:rPr>
        <w:t xml:space="preserve">ublažavanja kamatnog rizika javnog duga </w:t>
      </w:r>
      <w:r w:rsidR="0099093A" w:rsidRPr="00716782">
        <w:rPr>
          <w:sz w:val="24"/>
          <w:szCs w:val="24"/>
          <w:lang w:val="hr-HR"/>
        </w:rPr>
        <w:t>te</w:t>
      </w:r>
    </w:p>
    <w:p w14:paraId="33AC204D" w14:textId="77777777" w:rsidR="0099093A" w:rsidRPr="00716782" w:rsidRDefault="00467A3F" w:rsidP="005A7792">
      <w:pPr>
        <w:pStyle w:val="ListParagraph"/>
        <w:numPr>
          <w:ilvl w:val="0"/>
          <w:numId w:val="38"/>
        </w:numPr>
        <w:spacing w:line="276" w:lineRule="auto"/>
        <w:jc w:val="both"/>
        <w:rPr>
          <w:sz w:val="24"/>
          <w:szCs w:val="24"/>
          <w:lang w:val="hr-HR"/>
        </w:rPr>
      </w:pPr>
      <w:r w:rsidRPr="00716782">
        <w:rPr>
          <w:sz w:val="24"/>
          <w:szCs w:val="24"/>
          <w:lang w:val="hr-HR"/>
        </w:rPr>
        <w:t>povećanja transparentnosti javnog duga i zaduživanja.</w:t>
      </w:r>
      <w:r w:rsidRPr="00716782">
        <w:t xml:space="preserve"> </w:t>
      </w:r>
    </w:p>
    <w:p w14:paraId="6D5FF3ED" w14:textId="77777777" w:rsidR="0099093A" w:rsidRPr="00716782" w:rsidRDefault="0099093A" w:rsidP="00205CAB">
      <w:pPr>
        <w:spacing w:before="240" w:line="276" w:lineRule="auto"/>
        <w:jc w:val="both"/>
        <w:rPr>
          <w:sz w:val="24"/>
          <w:szCs w:val="24"/>
          <w:lang w:val="hr-HR"/>
        </w:rPr>
      </w:pPr>
      <w:r w:rsidRPr="00716782">
        <w:rPr>
          <w:sz w:val="24"/>
          <w:szCs w:val="24"/>
          <w:lang w:val="hr-HR"/>
        </w:rPr>
        <w:t>Uz analizu navedenih rizika upravljanja javnim dugom, Strategija sadrži i plan zaduživanja u 201</w:t>
      </w:r>
      <w:r w:rsidR="00716782" w:rsidRPr="00716782">
        <w:rPr>
          <w:sz w:val="24"/>
          <w:szCs w:val="24"/>
          <w:lang w:val="hr-HR"/>
        </w:rPr>
        <w:t>9</w:t>
      </w:r>
      <w:r w:rsidRPr="00716782">
        <w:rPr>
          <w:sz w:val="24"/>
          <w:szCs w:val="24"/>
          <w:lang w:val="hr-HR"/>
        </w:rPr>
        <w:t xml:space="preserve">. </w:t>
      </w:r>
      <w:r w:rsidR="00B57CC4" w:rsidRPr="00716782">
        <w:rPr>
          <w:sz w:val="24"/>
          <w:szCs w:val="24"/>
          <w:lang w:val="hr-HR"/>
        </w:rPr>
        <w:t xml:space="preserve">godini </w:t>
      </w:r>
      <w:r w:rsidRPr="00716782">
        <w:rPr>
          <w:sz w:val="24"/>
          <w:szCs w:val="24"/>
          <w:lang w:val="hr-HR"/>
        </w:rPr>
        <w:t>s predviđenom dinamikom i kalendarom aukcija trezorskih zapisa te planom izdanja obveznica</w:t>
      </w:r>
      <w:r w:rsidR="00B57CC4" w:rsidRPr="00716782">
        <w:rPr>
          <w:sz w:val="24"/>
          <w:szCs w:val="24"/>
          <w:lang w:val="hr-HR"/>
        </w:rPr>
        <w:t>. Također, daje se i projekcija plana zaduživanja do kraja 202</w:t>
      </w:r>
      <w:r w:rsidR="004D607A">
        <w:rPr>
          <w:sz w:val="24"/>
          <w:szCs w:val="24"/>
          <w:lang w:val="hr-HR"/>
        </w:rPr>
        <w:t>1</w:t>
      </w:r>
      <w:r w:rsidR="00B57CC4" w:rsidRPr="00716782">
        <w:rPr>
          <w:sz w:val="24"/>
          <w:szCs w:val="24"/>
          <w:lang w:val="hr-HR"/>
        </w:rPr>
        <w:t xml:space="preserve">. godine kao i </w:t>
      </w:r>
      <w:r w:rsidR="004D607A">
        <w:rPr>
          <w:sz w:val="24"/>
          <w:szCs w:val="24"/>
          <w:lang w:val="hr-HR"/>
        </w:rPr>
        <w:t xml:space="preserve">projekcije </w:t>
      </w:r>
      <w:r w:rsidRPr="00716782">
        <w:rPr>
          <w:sz w:val="24"/>
          <w:szCs w:val="24"/>
          <w:lang w:val="hr-HR"/>
        </w:rPr>
        <w:t>otplat</w:t>
      </w:r>
      <w:r w:rsidR="00B57CC4" w:rsidRPr="00716782">
        <w:rPr>
          <w:sz w:val="24"/>
          <w:szCs w:val="24"/>
          <w:lang w:val="hr-HR"/>
        </w:rPr>
        <w:t>e</w:t>
      </w:r>
      <w:r w:rsidRPr="00716782">
        <w:rPr>
          <w:sz w:val="24"/>
          <w:szCs w:val="24"/>
          <w:lang w:val="hr-HR"/>
        </w:rPr>
        <w:t xml:space="preserve"> duga</w:t>
      </w:r>
      <w:r w:rsidR="00B57CC4" w:rsidRPr="00716782">
        <w:rPr>
          <w:sz w:val="24"/>
          <w:szCs w:val="24"/>
          <w:lang w:val="hr-HR"/>
        </w:rPr>
        <w:t xml:space="preserve"> u dužem vremenskom razdoblju</w:t>
      </w:r>
      <w:r w:rsidRPr="00716782">
        <w:rPr>
          <w:sz w:val="24"/>
          <w:szCs w:val="24"/>
          <w:lang w:val="hr-HR"/>
        </w:rPr>
        <w:t>.</w:t>
      </w:r>
    </w:p>
    <w:p w14:paraId="151DAFA8" w14:textId="77777777" w:rsidR="00205CAB" w:rsidRPr="00716782" w:rsidRDefault="00205CAB" w:rsidP="00205CAB">
      <w:pPr>
        <w:spacing w:before="240" w:line="276" w:lineRule="auto"/>
        <w:jc w:val="both"/>
        <w:rPr>
          <w:sz w:val="24"/>
          <w:szCs w:val="24"/>
          <w:lang w:val="hr-HR"/>
        </w:rPr>
      </w:pPr>
      <w:r w:rsidRPr="00716782">
        <w:rPr>
          <w:sz w:val="24"/>
          <w:szCs w:val="24"/>
          <w:lang w:val="hr-HR"/>
        </w:rPr>
        <w:t>Nužna poluga za aktivno upravljanje javnim dugom je</w:t>
      </w:r>
      <w:r w:rsidR="00E10EC7" w:rsidRPr="00716782">
        <w:rPr>
          <w:sz w:val="24"/>
          <w:szCs w:val="24"/>
          <w:lang w:val="hr-HR"/>
        </w:rPr>
        <w:t>st</w:t>
      </w:r>
      <w:r w:rsidR="00716782" w:rsidRPr="00716782">
        <w:rPr>
          <w:sz w:val="24"/>
          <w:szCs w:val="24"/>
          <w:lang w:val="hr-HR"/>
        </w:rPr>
        <w:t xml:space="preserve"> redovito utvrđivanje i</w:t>
      </w:r>
      <w:r w:rsidRPr="00716782">
        <w:rPr>
          <w:sz w:val="24"/>
          <w:szCs w:val="24"/>
          <w:lang w:val="hr-HR"/>
        </w:rPr>
        <w:t xml:space="preserve"> objava provedbe Strategije upravljanja javnim dugom čiji su ciljevi bazirani na analizi troškova i rizika, uvažavajući makroekonomska i tržišna ograničenja. Stoga se</w:t>
      </w:r>
      <w:r w:rsidR="004D607A">
        <w:rPr>
          <w:sz w:val="24"/>
          <w:szCs w:val="24"/>
          <w:lang w:val="hr-HR"/>
        </w:rPr>
        <w:t xml:space="preserve"> </w:t>
      </w:r>
      <w:r w:rsidRPr="00716782">
        <w:rPr>
          <w:sz w:val="24"/>
          <w:szCs w:val="24"/>
          <w:lang w:val="hr-HR"/>
        </w:rPr>
        <w:t>redovito godišnje usvaja i objavlj</w:t>
      </w:r>
      <w:r w:rsidR="0007582E">
        <w:rPr>
          <w:sz w:val="24"/>
          <w:szCs w:val="24"/>
          <w:lang w:val="hr-HR"/>
        </w:rPr>
        <w:t>uje</w:t>
      </w:r>
      <w:r w:rsidRPr="00716782">
        <w:rPr>
          <w:sz w:val="24"/>
          <w:szCs w:val="24"/>
          <w:lang w:val="hr-HR"/>
        </w:rPr>
        <w:t xml:space="preserve"> strategij</w:t>
      </w:r>
      <w:r w:rsidR="0007582E">
        <w:rPr>
          <w:sz w:val="24"/>
          <w:szCs w:val="24"/>
          <w:lang w:val="hr-HR"/>
        </w:rPr>
        <w:t>a</w:t>
      </w:r>
      <w:r w:rsidRPr="00716782">
        <w:rPr>
          <w:sz w:val="24"/>
          <w:szCs w:val="24"/>
          <w:lang w:val="hr-HR"/>
        </w:rPr>
        <w:t xml:space="preserve"> </w:t>
      </w:r>
      <w:r w:rsidR="00E10EC7" w:rsidRPr="00716782">
        <w:rPr>
          <w:sz w:val="24"/>
          <w:szCs w:val="24"/>
          <w:lang w:val="hr-HR"/>
        </w:rPr>
        <w:t xml:space="preserve">upravljanja javnim dugom </w:t>
      </w:r>
      <w:r w:rsidRPr="00716782">
        <w:rPr>
          <w:sz w:val="24"/>
          <w:szCs w:val="24"/>
          <w:lang w:val="hr-HR"/>
        </w:rPr>
        <w:t>za trogodišnje razdoblje usklađen</w:t>
      </w:r>
      <w:r w:rsidR="0007582E">
        <w:rPr>
          <w:sz w:val="24"/>
          <w:szCs w:val="24"/>
          <w:lang w:val="hr-HR"/>
        </w:rPr>
        <w:t>a</w:t>
      </w:r>
      <w:r w:rsidRPr="00716782">
        <w:rPr>
          <w:sz w:val="24"/>
          <w:szCs w:val="24"/>
          <w:lang w:val="hr-HR"/>
        </w:rPr>
        <w:t xml:space="preserve"> s tekućim programom konvergencije i trogodišnjim fiskalnim projekcijama.</w:t>
      </w:r>
    </w:p>
    <w:p w14:paraId="2EE86A84" w14:textId="77777777" w:rsidR="00D86D3F" w:rsidRPr="00025326" w:rsidRDefault="00D86D3F" w:rsidP="005A7792">
      <w:pPr>
        <w:spacing w:line="276" w:lineRule="auto"/>
        <w:jc w:val="both"/>
        <w:rPr>
          <w:sz w:val="24"/>
          <w:highlight w:val="yellow"/>
          <w:lang w:val="hr-HR"/>
        </w:rPr>
      </w:pPr>
      <w:r w:rsidRPr="00025326">
        <w:rPr>
          <w:sz w:val="24"/>
          <w:highlight w:val="yellow"/>
          <w:lang w:val="hr-HR"/>
        </w:rPr>
        <w:br w:type="page"/>
      </w:r>
    </w:p>
    <w:p w14:paraId="254B236B" w14:textId="77777777" w:rsidR="00D82212" w:rsidRPr="007E3BE1" w:rsidRDefault="002B3ABB" w:rsidP="0035474D">
      <w:pPr>
        <w:pStyle w:val="Heading1"/>
        <w:numPr>
          <w:ilvl w:val="0"/>
          <w:numId w:val="1"/>
        </w:numPr>
        <w:spacing w:line="276" w:lineRule="auto"/>
        <w:rPr>
          <w:lang w:val="hr-HR"/>
        </w:rPr>
      </w:pPr>
      <w:bookmarkStart w:id="2" w:name="_Toc10032420"/>
      <w:r w:rsidRPr="007E3BE1">
        <w:rPr>
          <w:lang w:val="hr-HR"/>
        </w:rPr>
        <w:lastRenderedPageBreak/>
        <w:t>PRAVNI I INSTITUCIONALNI OKVIR UPRAVLJANJA JAVNIM DUGOM</w:t>
      </w:r>
      <w:bookmarkEnd w:id="2"/>
    </w:p>
    <w:p w14:paraId="4E9A9510" w14:textId="77777777" w:rsidR="002B3ABB" w:rsidRPr="007E3BE1" w:rsidRDefault="002B3ABB" w:rsidP="00822107">
      <w:pPr>
        <w:spacing w:before="240" w:line="276" w:lineRule="auto"/>
        <w:rPr>
          <w:lang w:val="hr-HR"/>
        </w:rPr>
      </w:pPr>
    </w:p>
    <w:p w14:paraId="1B5574CF" w14:textId="77777777" w:rsidR="00A40D2A" w:rsidRPr="007E3BE1" w:rsidRDefault="00A40D2A" w:rsidP="00F57BB8">
      <w:pPr>
        <w:pStyle w:val="T-98-2"/>
        <w:spacing w:before="240" w:after="0" w:line="276" w:lineRule="auto"/>
        <w:ind w:firstLine="0"/>
        <w:rPr>
          <w:rFonts w:asciiTheme="minorHAnsi" w:hAnsiTheme="minorHAnsi"/>
          <w:sz w:val="24"/>
          <w:szCs w:val="24"/>
        </w:rPr>
      </w:pPr>
      <w:r w:rsidRPr="007E3BE1">
        <w:rPr>
          <w:rFonts w:asciiTheme="minorHAnsi" w:hAnsiTheme="minorHAnsi"/>
          <w:color w:val="000000"/>
          <w:sz w:val="24"/>
          <w:szCs w:val="24"/>
        </w:rPr>
        <w:t>Zakonom o proračunu</w:t>
      </w:r>
      <w:r w:rsidRPr="007E3BE1">
        <w:rPr>
          <w:rStyle w:val="FootnoteReference"/>
          <w:rFonts w:asciiTheme="minorHAnsi" w:hAnsiTheme="minorHAnsi"/>
          <w:color w:val="000000"/>
          <w:sz w:val="24"/>
          <w:szCs w:val="24"/>
        </w:rPr>
        <w:footnoteReference w:id="2"/>
      </w:r>
      <w:r w:rsidRPr="007E3BE1">
        <w:rPr>
          <w:rFonts w:asciiTheme="minorHAnsi" w:hAnsiTheme="minorHAnsi"/>
          <w:color w:val="000000"/>
          <w:sz w:val="24"/>
          <w:szCs w:val="24"/>
        </w:rPr>
        <w:t xml:space="preserve"> propisan je osnovni cilj zaduživanja i upravljanja dugom, a on je usmjeren k osiguranju financijskih potreba državnog proračuna postizanjem najnižeg srednjoročnog i dugoročnog troška financiranja uz preuzimanje razboritog stupnja rizika. Razborito upravljanje rizicima nužno je kako bi se pridonijelo ostvarenju utvrđenih fiskalnih projekcija, osigurala održivost i optimalna struktura duga te realizirali ciljevi utvrđeni strategijom upravljanja dugom. </w:t>
      </w:r>
      <w:r w:rsidRPr="007E3BE1">
        <w:rPr>
          <w:rFonts w:asciiTheme="minorHAnsi" w:hAnsiTheme="minorHAnsi"/>
          <w:sz w:val="24"/>
          <w:szCs w:val="24"/>
        </w:rPr>
        <w:t>Zaduživanje se provodi u svrhu financiranja proračunskog manjka, investicijskih projekata i posebnih programa (prema odobrenju Hrvatskog sabora), otplata državnog duga, podmirenja dospjelih plaćanja u svezi s državnim jamstvima, upravljanja likvidnošću proračuna te u svrhu pokrivanja potreba Hrvatske narodne banke (u daljnjem tekstu: HNB) za međunarodnim pričuvama.</w:t>
      </w:r>
    </w:p>
    <w:p w14:paraId="386EF58D" w14:textId="77777777" w:rsidR="00A40D2A" w:rsidRPr="007E3BE1" w:rsidRDefault="00A40D2A" w:rsidP="00F57BB8">
      <w:pPr>
        <w:spacing w:before="240" w:line="276" w:lineRule="auto"/>
        <w:jc w:val="both"/>
        <w:rPr>
          <w:color w:val="000000"/>
          <w:sz w:val="24"/>
          <w:szCs w:val="24"/>
          <w:lang w:val="hr-HR"/>
        </w:rPr>
      </w:pPr>
      <w:r w:rsidRPr="007E3BE1">
        <w:rPr>
          <w:color w:val="000000"/>
          <w:sz w:val="24"/>
          <w:szCs w:val="24"/>
          <w:lang w:val="hr-HR"/>
        </w:rPr>
        <w:t xml:space="preserve">Uloga predstavničkog tijela u upravljanju dugom razlikuje se od zemlje do zemlje, od delegiranja ukupne ovlasti zaduživanja na vladu/ministarstvo financija bez naknadne obveze izvještavanja, do toga da predstavničko tijelo odobrava svaku transakciju zaduživanja. Najbolja praksa zemalja Europske unije (u daljnjem tekstu: EU) prisutna je u slučajevima kada se pravo zaduživanja delegira na vladu/ministarstvo financija, ali u isto vrijeme definiraju ciljevi upravljanja dugom uz godišnje izvješćivanje o zaduživanju i upravljanju dugom. U skladu sa zacrtanim ciljevima, vlada/ministarstvo financija je ono koje odlučuje o strategiji, temeljeno na razmatranju očekivanih troškova i rizika. </w:t>
      </w:r>
    </w:p>
    <w:p w14:paraId="13CEFF96" w14:textId="77777777" w:rsidR="00A40D2A" w:rsidRPr="007E3BE1" w:rsidRDefault="00A40D2A" w:rsidP="00F57BB8">
      <w:pPr>
        <w:pStyle w:val="T-98-2"/>
        <w:spacing w:before="240" w:after="0" w:line="276" w:lineRule="auto"/>
        <w:ind w:firstLine="0"/>
        <w:rPr>
          <w:rFonts w:asciiTheme="minorHAnsi" w:hAnsiTheme="minorHAnsi"/>
          <w:sz w:val="24"/>
          <w:szCs w:val="24"/>
        </w:rPr>
      </w:pPr>
      <w:r w:rsidRPr="007E3BE1">
        <w:rPr>
          <w:rFonts w:asciiTheme="minorHAnsi" w:hAnsiTheme="minorHAnsi"/>
          <w:color w:val="000000"/>
          <w:sz w:val="24"/>
          <w:szCs w:val="24"/>
        </w:rPr>
        <w:t xml:space="preserve">Hrvatski sabor putem zakona o izvršavanju državnog proračuna, koji se svake godine donosi uz državni proračun, utvrđuje ukupan iznos novog državnog duga i državnih jamstava koja se mogu preuzeti ili izdati u tijeku proračunske godine. </w:t>
      </w:r>
      <w:r w:rsidRPr="007E3BE1">
        <w:rPr>
          <w:rFonts w:asciiTheme="minorHAnsi" w:hAnsiTheme="minorHAnsi"/>
          <w:sz w:val="24"/>
          <w:szCs w:val="24"/>
        </w:rPr>
        <w:t xml:space="preserve">Hrvatski sabor izvještava se dva puta godišnje, kroz polugodišnji i godišnji izvještaj o izvršenju državnog proračuna, o zaduživanju na domaćem i stranom tržištu novca i kapitala te o danim državnim jamstvima i izdacima po državnim jamstvima. </w:t>
      </w:r>
    </w:p>
    <w:p w14:paraId="072FDD69" w14:textId="77777777" w:rsidR="00A40D2A" w:rsidRPr="009D031C" w:rsidRDefault="00A40D2A" w:rsidP="00F57BB8">
      <w:pPr>
        <w:pStyle w:val="Obicanparagraf"/>
        <w:spacing w:before="240" w:after="0" w:line="276" w:lineRule="auto"/>
        <w:rPr>
          <w:rFonts w:asciiTheme="minorHAnsi" w:hAnsiTheme="minorHAnsi"/>
          <w:color w:val="000000"/>
          <w:sz w:val="24"/>
          <w:szCs w:val="24"/>
          <w:lang w:eastAsia="hr-HR"/>
        </w:rPr>
      </w:pPr>
      <w:r w:rsidRPr="009D031C">
        <w:rPr>
          <w:rFonts w:asciiTheme="minorHAnsi" w:hAnsiTheme="minorHAnsi"/>
          <w:color w:val="000000"/>
          <w:sz w:val="24"/>
          <w:szCs w:val="24"/>
          <w:lang w:eastAsia="hr-HR"/>
        </w:rPr>
        <w:t xml:space="preserve">Zakonom o proračunu propisana su ograničenja kratkoročnog i dugoročnog zaduživanja za jedinice lokalne i područne (regionalne) samouprave, a zakonom o izvršavanju državnog proračuna regulirane su ovlasti Vlade prilikom donošenja odluke o davanju suglasnosti za dugoročno zaduženje jedinice lokalne i područne (regionalne) samouprave. Jedinica lokalne i područne (regionalne) samouprave može se dugoročno zadužiti samo za investiciju koja se financira iz njezina proračuna, a koju potvrdi njezino predstavničko tijelo, uz prethodno dobivenu suglasnost Vlade, a na prijedlog ministra financija. Jedan od uvjeta je da ukupna godišnja obveza jedinice lokalne i područne (regionalne) samouprave koja se zadužuje </w:t>
      </w:r>
      <w:r w:rsidRPr="009D031C">
        <w:rPr>
          <w:rFonts w:asciiTheme="minorHAnsi" w:hAnsiTheme="minorHAnsi"/>
          <w:color w:val="000000"/>
          <w:sz w:val="24"/>
          <w:szCs w:val="24"/>
          <w:lang w:eastAsia="hr-HR"/>
        </w:rPr>
        <w:lastRenderedPageBreak/>
        <w:t xml:space="preserve">uzimanjem kredita, zajmova i izdavanjem vrijednosnih papira može iznositi najviše do 20% ostvarenih prihoda u godini koja prethodi godini u kojoj se zadužuje, umanjenih za prihode i primitke od domaćih i inozemnih pomoći i donacija kao i iz posebnih ugovora: sufinanciranje građana za mjesnu samoupravu, ostvarene temeljem dodatnog udjela u porezu na dohodak i pomoći izravnanja za financiranje decentraliziranih funkcija. Na prikazani način, zadržava se zaduživanje jedinica lokalne i područne (regionalne) samouprave unutar zadanog fiskalnog okvira. </w:t>
      </w:r>
    </w:p>
    <w:p w14:paraId="524DB64C" w14:textId="77777777" w:rsidR="00A40D2A" w:rsidRPr="009D031C" w:rsidRDefault="00A40D2A" w:rsidP="00F57BB8">
      <w:pPr>
        <w:pStyle w:val="Obicanparagraf"/>
        <w:spacing w:before="240" w:after="0" w:line="276" w:lineRule="auto"/>
        <w:rPr>
          <w:rFonts w:asciiTheme="minorHAnsi" w:hAnsiTheme="minorHAnsi"/>
          <w:color w:val="000000"/>
          <w:sz w:val="24"/>
          <w:szCs w:val="24"/>
          <w:lang w:eastAsia="hr-HR"/>
        </w:rPr>
      </w:pPr>
      <w:r w:rsidRPr="009D031C">
        <w:rPr>
          <w:rFonts w:asciiTheme="minorHAnsi" w:hAnsiTheme="minorHAnsi"/>
          <w:color w:val="000000"/>
          <w:sz w:val="24"/>
          <w:szCs w:val="24"/>
          <w:lang w:eastAsia="hr-HR"/>
        </w:rPr>
        <w:t xml:space="preserve">Nadalje, Zakonom o proračunu propisano je da pravna osoba u većinskom vlasništvu ili suvlasništvu RH sklapa ugovore o kreditu odnosno zajmu ili daje jamstva na osnovi odluke o suglasnosti Vlade i to u slučaju kada vrijednost posla ili jamstvo prelazi iznos utvrđen zakonom o izvršavanju državnog proračuna </w:t>
      </w:r>
      <w:r w:rsidR="007C5E19" w:rsidRPr="009D031C">
        <w:rPr>
          <w:rFonts w:asciiTheme="minorHAnsi" w:hAnsiTheme="minorHAnsi"/>
          <w:color w:val="000000"/>
          <w:sz w:val="24"/>
          <w:szCs w:val="24"/>
          <w:lang w:eastAsia="hr-HR"/>
        </w:rPr>
        <w:t>koji je u 201</w:t>
      </w:r>
      <w:r w:rsidR="009D031C" w:rsidRPr="009D031C">
        <w:rPr>
          <w:rFonts w:asciiTheme="minorHAnsi" w:hAnsiTheme="minorHAnsi"/>
          <w:color w:val="000000"/>
          <w:sz w:val="24"/>
          <w:szCs w:val="24"/>
          <w:lang w:eastAsia="hr-HR"/>
        </w:rPr>
        <w:t>9</w:t>
      </w:r>
      <w:r w:rsidRPr="009D031C">
        <w:rPr>
          <w:rFonts w:asciiTheme="minorHAnsi" w:hAnsiTheme="minorHAnsi"/>
          <w:color w:val="000000"/>
          <w:sz w:val="24"/>
          <w:szCs w:val="24"/>
          <w:lang w:eastAsia="hr-HR"/>
        </w:rPr>
        <w:t xml:space="preserve">. godini utvrđen u iznosu od 7,5 milijuna kuna. </w:t>
      </w:r>
    </w:p>
    <w:p w14:paraId="0A576172" w14:textId="77777777" w:rsidR="00A40D2A" w:rsidRPr="009D031C" w:rsidRDefault="00A40D2A" w:rsidP="00A40D2A">
      <w:pPr>
        <w:spacing w:line="276" w:lineRule="auto"/>
        <w:jc w:val="center"/>
        <w:rPr>
          <w:sz w:val="28"/>
          <w:szCs w:val="24"/>
          <w:lang w:val="hr-HR"/>
        </w:rPr>
      </w:pPr>
      <w:r w:rsidRPr="009D031C">
        <w:rPr>
          <w:sz w:val="28"/>
          <w:szCs w:val="24"/>
          <w:lang w:val="hr-HR"/>
        </w:rPr>
        <w:sym w:font="Symbol" w:char="F07E"/>
      </w:r>
      <w:r w:rsidRPr="009D031C">
        <w:rPr>
          <w:sz w:val="28"/>
          <w:szCs w:val="24"/>
          <w:lang w:val="hr-HR"/>
        </w:rPr>
        <w:t xml:space="preserve"> </w:t>
      </w:r>
      <w:r w:rsidRPr="009D031C">
        <w:rPr>
          <w:sz w:val="28"/>
          <w:szCs w:val="24"/>
          <w:lang w:val="hr-HR"/>
        </w:rPr>
        <w:sym w:font="Symbol" w:char="F0D7"/>
      </w:r>
      <w:r w:rsidRPr="009D031C">
        <w:rPr>
          <w:sz w:val="28"/>
          <w:szCs w:val="24"/>
          <w:lang w:val="hr-HR"/>
        </w:rPr>
        <w:t xml:space="preserve"> </w:t>
      </w:r>
      <w:r w:rsidRPr="009D031C">
        <w:rPr>
          <w:sz w:val="28"/>
          <w:szCs w:val="24"/>
          <w:lang w:val="hr-HR"/>
        </w:rPr>
        <w:sym w:font="Symbol" w:char="F07E"/>
      </w:r>
    </w:p>
    <w:p w14:paraId="5542121A" w14:textId="77777777" w:rsidR="00A40D2A" w:rsidRPr="009D031C" w:rsidRDefault="00A40D2A" w:rsidP="00A40D2A">
      <w:pPr>
        <w:pStyle w:val="Obicanparagraf"/>
        <w:spacing w:after="43" w:line="276" w:lineRule="auto"/>
        <w:rPr>
          <w:rFonts w:asciiTheme="minorHAnsi" w:hAnsiTheme="minorHAnsi"/>
          <w:color w:val="000000"/>
          <w:sz w:val="24"/>
          <w:szCs w:val="24"/>
          <w:lang w:eastAsia="hr-HR"/>
        </w:rPr>
      </w:pPr>
      <w:r w:rsidRPr="009D031C">
        <w:rPr>
          <w:rFonts w:asciiTheme="minorHAnsi" w:hAnsiTheme="minorHAnsi"/>
          <w:color w:val="000000"/>
          <w:sz w:val="24"/>
          <w:szCs w:val="24"/>
          <w:lang w:eastAsia="hr-HR"/>
        </w:rPr>
        <w:t>Nakon što je u prvom dijelu ovog poglavlja opisan odgovarajući institucionalno-pravni okvir, a u svrhu što boljeg razumijevanja osnovnih strateških elemenata politike upravljanja javnim dugom, koji će biti izneseni u nastavku dokumenta, potrebno je definirati ključne pojmove u ovom kontekstu.</w:t>
      </w:r>
    </w:p>
    <w:p w14:paraId="62BD586B" w14:textId="77777777" w:rsidR="00F57BB8" w:rsidRPr="002D5C87" w:rsidRDefault="005659D2" w:rsidP="00A40D2A">
      <w:pPr>
        <w:pStyle w:val="Obicanparagraf"/>
        <w:spacing w:after="43" w:line="276" w:lineRule="auto"/>
        <w:rPr>
          <w:rFonts w:asciiTheme="minorHAnsi" w:hAnsiTheme="minorHAnsi"/>
          <w:color w:val="000000"/>
          <w:sz w:val="24"/>
          <w:szCs w:val="24"/>
          <w:lang w:eastAsia="hr-HR"/>
        </w:rPr>
      </w:pPr>
      <w:r w:rsidRPr="002D5C87">
        <w:rPr>
          <w:rFonts w:asciiTheme="minorHAnsi" w:hAnsiTheme="minorHAnsi"/>
          <w:noProof/>
          <w:color w:val="000000"/>
          <w:sz w:val="24"/>
          <w:szCs w:val="24"/>
          <w:lang w:eastAsia="hr-HR"/>
        </w:rPr>
        <mc:AlternateContent>
          <mc:Choice Requires="wps">
            <w:drawing>
              <wp:anchor distT="0" distB="0" distL="114300" distR="114300" simplePos="0" relativeHeight="251659264" behindDoc="0" locked="0" layoutInCell="1" allowOverlap="1" wp14:anchorId="779A53B4" wp14:editId="768A0B4F">
                <wp:simplePos x="0" y="0"/>
                <wp:positionH relativeFrom="column">
                  <wp:posOffset>13970</wp:posOffset>
                </wp:positionH>
                <wp:positionV relativeFrom="paragraph">
                  <wp:posOffset>207314</wp:posOffset>
                </wp:positionV>
                <wp:extent cx="5747385" cy="5295568"/>
                <wp:effectExtent l="0" t="0" r="24765" b="19685"/>
                <wp:wrapNone/>
                <wp:docPr id="6" name="Text Box 6"/>
                <wp:cNvGraphicFramePr/>
                <a:graphic xmlns:a="http://schemas.openxmlformats.org/drawingml/2006/main">
                  <a:graphicData uri="http://schemas.microsoft.com/office/word/2010/wordprocessingShape">
                    <wps:wsp>
                      <wps:cNvSpPr txBox="1"/>
                      <wps:spPr>
                        <a:xfrm>
                          <a:off x="0" y="0"/>
                          <a:ext cx="5747385" cy="529556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5958AC9" w14:textId="77777777" w:rsidR="006656F9" w:rsidRPr="00325EAC" w:rsidRDefault="006656F9" w:rsidP="00F4251A">
                            <w:pPr>
                              <w:spacing w:line="276" w:lineRule="auto"/>
                              <w:jc w:val="both"/>
                              <w:rPr>
                                <w:szCs w:val="24"/>
                                <w:lang w:val="hr-HR"/>
                              </w:rPr>
                            </w:pPr>
                            <w:r w:rsidRPr="0057506E">
                              <w:rPr>
                                <w:b/>
                                <w:szCs w:val="24"/>
                                <w:lang w:val="hr-HR"/>
                              </w:rPr>
                              <w:t>Javni dug</w:t>
                            </w:r>
                            <w:r w:rsidRPr="00325EAC">
                              <w:rPr>
                                <w:szCs w:val="24"/>
                                <w:lang w:val="hr-HR"/>
                              </w:rPr>
                              <w:t xml:space="preserve"> predstavlja bruto nominalnu vrijednost duga sektora opće države</w:t>
                            </w:r>
                            <w:r w:rsidRPr="00325EAC">
                              <w:rPr>
                                <w:lang w:val="hr-HR"/>
                              </w:rPr>
                              <w:t>, a prema pravilima statističkog izvještavanja EU</w:t>
                            </w:r>
                            <w:r w:rsidRPr="00325EAC">
                              <w:rPr>
                                <w:szCs w:val="24"/>
                                <w:lang w:val="hr-HR"/>
                              </w:rPr>
                              <w:t xml:space="preserve">. Dug se odnosi na jedinice klasificirane prema službenoj sektorskoj klasifikaciji u sektor opće države, a čine ga obveze po sljedećim financijskim instrumentima: gotovina i depoziti, dužnički vrijednosni papiri te krediti i zajmovi. Sukladno Sporazumu o suradnji na području statistike nacionalnih računa opće države i s njom povezanih statistika, HNB je odgovoran za godišnje i tromjesečne statistike financijskih računa sektora opće države te tromjesečno izvješćivanje o dugu prema kriteriju iz Maastrichta prema </w:t>
                            </w:r>
                            <w:r>
                              <w:rPr>
                                <w:szCs w:val="24"/>
                                <w:lang w:val="hr-HR"/>
                              </w:rPr>
                              <w:t xml:space="preserve">metodologiji </w:t>
                            </w:r>
                            <w:r w:rsidRPr="00325EAC">
                              <w:rPr>
                                <w:szCs w:val="24"/>
                                <w:lang w:val="hr-HR"/>
                              </w:rPr>
                              <w:t xml:space="preserve">ESA 2010. Serije podataka o dugu opće države objavljuju se u Biltenu HNB-a. </w:t>
                            </w:r>
                          </w:p>
                          <w:p w14:paraId="14FA09ED" w14:textId="77777777" w:rsidR="006656F9" w:rsidRPr="00325EAC" w:rsidRDefault="006656F9" w:rsidP="00F4251A">
                            <w:pPr>
                              <w:pStyle w:val="Obicanparagraf"/>
                              <w:spacing w:before="240" w:after="43" w:line="276" w:lineRule="auto"/>
                              <w:rPr>
                                <w:rFonts w:asciiTheme="minorHAnsi" w:hAnsiTheme="minorHAnsi"/>
                                <w:szCs w:val="24"/>
                              </w:rPr>
                            </w:pPr>
                            <w:r w:rsidRPr="00325EAC">
                              <w:rPr>
                                <w:rFonts w:asciiTheme="minorHAnsi" w:hAnsiTheme="minorHAnsi"/>
                                <w:b/>
                                <w:szCs w:val="24"/>
                              </w:rPr>
                              <w:t>Sektor opće države</w:t>
                            </w:r>
                            <w:r w:rsidRPr="00325EAC">
                              <w:rPr>
                                <w:rFonts w:asciiTheme="minorHAnsi" w:hAnsiTheme="minorHAnsi"/>
                                <w:szCs w:val="24"/>
                              </w:rPr>
                              <w:t xml:space="preserve"> sastoji se od tri podsektora: središnje države, lokalne države i fondova socijalne sigurnosti. </w:t>
                            </w:r>
                          </w:p>
                          <w:p w14:paraId="575B98D2" w14:textId="77777777" w:rsidR="006656F9" w:rsidRPr="00325EAC" w:rsidRDefault="006656F9" w:rsidP="00F4251A">
                            <w:pPr>
                              <w:pStyle w:val="Obicanparagraf"/>
                              <w:spacing w:before="240" w:after="43" w:line="276" w:lineRule="auto"/>
                              <w:rPr>
                                <w:rFonts w:asciiTheme="minorHAnsi" w:hAnsiTheme="minorHAnsi"/>
                                <w:szCs w:val="24"/>
                              </w:rPr>
                            </w:pPr>
                            <w:r w:rsidRPr="00325EAC">
                              <w:rPr>
                                <w:rFonts w:asciiTheme="minorHAnsi" w:hAnsiTheme="minorHAnsi"/>
                                <w:b/>
                                <w:szCs w:val="24"/>
                              </w:rPr>
                              <w:t>Središnja država</w:t>
                            </w:r>
                            <w:r w:rsidRPr="00325EAC">
                              <w:rPr>
                                <w:rFonts w:asciiTheme="minorHAnsi" w:hAnsiTheme="minorHAnsi"/>
                                <w:szCs w:val="24"/>
                              </w:rPr>
                              <w:t xml:space="preserve"> obuhvaća državne upravne organizacije, državne agencije te ostale vladine institucije koje imaju nadležnost nad cijelim gospodarskim teritorijem te su odvojene od fondova socijalne sigurnosti. Središnja država uključuje i neprofitne institucije koje su pod kontrolom i uglavnom ih financira središnja vlast. Središnja država obuhvaća korisnike državnog proračuna, izvanproračunske korisnike (Hrvatske vode - HV, Fond za zaštitu okoliša i energetsku učinkovitost - FZOEU, Hrvatske ceste - HC, Državnu agenciju za osiguranje štednih uloga i sanaciju banaka - DAB, Hrvatski fond za privatizaciju - HFP do 31. ožujka 2011., Agenciju za upravljanje državnom imovinom - AUDIO do 30. rujna 2013., Centar za restrukturiranje i prodaju - CERP kao njezinih pravnih slijednika), HŽ Infrastrukturu - HŽI, </w:t>
                            </w:r>
                            <w:r>
                              <w:rPr>
                                <w:rFonts w:asciiTheme="minorHAnsi" w:hAnsiTheme="minorHAnsi"/>
                                <w:szCs w:val="24"/>
                              </w:rPr>
                              <w:t xml:space="preserve">HŽ Putnički prijevoz – HŽ PP, </w:t>
                            </w:r>
                            <w:r w:rsidRPr="00325EAC">
                              <w:rPr>
                                <w:rFonts w:asciiTheme="minorHAnsi" w:hAnsiTheme="minorHAnsi"/>
                                <w:szCs w:val="24"/>
                              </w:rPr>
                              <w:t>Hrvatsku radio televiziju - HRT, Hrvatske autoceste - HAC, Autocest</w:t>
                            </w:r>
                            <w:r>
                              <w:rPr>
                                <w:rFonts w:asciiTheme="minorHAnsi" w:hAnsiTheme="minorHAnsi"/>
                                <w:szCs w:val="24"/>
                              </w:rPr>
                              <w:t>u</w:t>
                            </w:r>
                            <w:r w:rsidRPr="00325EAC">
                              <w:rPr>
                                <w:rFonts w:asciiTheme="minorHAnsi" w:hAnsiTheme="minorHAnsi"/>
                                <w:szCs w:val="24"/>
                              </w:rPr>
                              <w:t xml:space="preserve"> Rijeka – Zagreb - ARZ, </w:t>
                            </w:r>
                            <w:r>
                              <w:rPr>
                                <w:rFonts w:asciiTheme="minorHAnsi" w:hAnsiTheme="minorHAnsi"/>
                                <w:szCs w:val="24"/>
                              </w:rPr>
                              <w:t>H</w:t>
                            </w:r>
                            <w:r w:rsidRPr="00325EAC">
                              <w:rPr>
                                <w:rFonts w:asciiTheme="minorHAnsi" w:hAnsiTheme="minorHAnsi"/>
                                <w:szCs w:val="24"/>
                              </w:rPr>
                              <w:t>rvatsk</w:t>
                            </w:r>
                            <w:r>
                              <w:rPr>
                                <w:rFonts w:asciiTheme="minorHAnsi" w:hAnsiTheme="minorHAnsi"/>
                                <w:szCs w:val="24"/>
                              </w:rPr>
                              <w:t>u</w:t>
                            </w:r>
                            <w:r w:rsidRPr="00325EAC">
                              <w:rPr>
                                <w:rFonts w:asciiTheme="minorHAnsi" w:hAnsiTheme="minorHAnsi"/>
                                <w:szCs w:val="24"/>
                              </w:rPr>
                              <w:t xml:space="preserve"> bank</w:t>
                            </w:r>
                            <w:r>
                              <w:rPr>
                                <w:rFonts w:asciiTheme="minorHAnsi" w:hAnsiTheme="minorHAnsi"/>
                                <w:szCs w:val="24"/>
                              </w:rPr>
                              <w:t>u</w:t>
                            </w:r>
                            <w:r w:rsidRPr="00325EAC">
                              <w:rPr>
                                <w:rFonts w:asciiTheme="minorHAnsi" w:hAnsiTheme="minorHAnsi"/>
                                <w:szCs w:val="24"/>
                              </w:rPr>
                              <w:t xml:space="preserve"> za obnovu i razvitak </w:t>
                            </w:r>
                            <w:r>
                              <w:rPr>
                                <w:rFonts w:asciiTheme="minorHAnsi" w:hAnsiTheme="minorHAnsi"/>
                                <w:szCs w:val="24"/>
                              </w:rPr>
                              <w:t>–</w:t>
                            </w:r>
                            <w:r w:rsidRPr="00325EAC">
                              <w:rPr>
                                <w:rFonts w:asciiTheme="minorHAnsi" w:hAnsiTheme="minorHAnsi"/>
                                <w:szCs w:val="24"/>
                              </w:rPr>
                              <w:t xml:space="preserve"> HBOR</w:t>
                            </w:r>
                            <w:r>
                              <w:rPr>
                                <w:rFonts w:asciiTheme="minorHAnsi" w:hAnsiTheme="minorHAnsi"/>
                                <w:szCs w:val="24"/>
                              </w:rPr>
                              <w:t xml:space="preserve">, </w:t>
                            </w:r>
                            <w:r w:rsidRPr="00F4251A">
                              <w:rPr>
                                <w:rFonts w:asciiTheme="minorHAnsi" w:hAnsiTheme="minorHAnsi"/>
                                <w:szCs w:val="24"/>
                              </w:rPr>
                              <w:t>Fond za financiranje razgradnje i zbrinjavanja radioaktivnog otpada i istrošenoga nuklearnog goriva Nuklearne elektrane Krško</w:t>
                            </w:r>
                            <w:r>
                              <w:rPr>
                                <w:rFonts w:asciiTheme="minorHAnsi" w:hAnsiTheme="minorHAnsi"/>
                                <w:szCs w:val="24"/>
                              </w:rPr>
                              <w:t xml:space="preserve"> - NEK,</w:t>
                            </w:r>
                            <w:r w:rsidRPr="00325EAC">
                              <w:rPr>
                                <w:rFonts w:asciiTheme="minorHAnsi" w:hAnsiTheme="minorHAnsi"/>
                                <w:szCs w:val="24"/>
                              </w:rPr>
                              <w:t xml:space="preserve"> Hrvatsk</w:t>
                            </w:r>
                            <w:r>
                              <w:rPr>
                                <w:rFonts w:asciiTheme="minorHAnsi" w:hAnsiTheme="minorHAnsi"/>
                                <w:szCs w:val="24"/>
                              </w:rPr>
                              <w:t>og</w:t>
                            </w:r>
                            <w:r w:rsidRPr="00325EAC">
                              <w:rPr>
                                <w:rFonts w:asciiTheme="minorHAnsi" w:hAnsiTheme="minorHAnsi"/>
                                <w:szCs w:val="24"/>
                              </w:rPr>
                              <w:t xml:space="preserve"> oper</w:t>
                            </w:r>
                            <w:r>
                              <w:rPr>
                                <w:rFonts w:asciiTheme="minorHAnsi" w:hAnsiTheme="minorHAnsi"/>
                                <w:szCs w:val="24"/>
                              </w:rPr>
                              <w:t xml:space="preserve">atora tržišta energije – HROTE, Agenciju Alan, Lučku upravu Zadar – LUZ te Hrvatsku turističku zajednicu - HTZ, a </w:t>
                            </w:r>
                            <w:r w:rsidRPr="00325EAC">
                              <w:rPr>
                                <w:rFonts w:asciiTheme="minorHAnsi" w:hAnsiTheme="minorHAnsi"/>
                                <w:szCs w:val="24"/>
                              </w:rPr>
                              <w:t>koji su reklasificirani u sekt</w:t>
                            </w:r>
                            <w:r>
                              <w:rPr>
                                <w:rFonts w:asciiTheme="minorHAnsi" w:hAnsiTheme="minorHAnsi"/>
                                <w:szCs w:val="24"/>
                              </w:rPr>
                              <w:t xml:space="preserve">or </w:t>
                            </w:r>
                            <w:r w:rsidRPr="00325EAC">
                              <w:rPr>
                                <w:rFonts w:asciiTheme="minorHAnsi" w:hAnsiTheme="minorHAnsi"/>
                                <w:szCs w:val="24"/>
                              </w:rPr>
                              <w:t>središnje države.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A53B4" id="_x0000_t202" coordsize="21600,21600" o:spt="202" path="m,l,21600r21600,l21600,xe">
                <v:stroke joinstyle="miter"/>
                <v:path gradientshapeok="t" o:connecttype="rect"/>
              </v:shapetype>
              <v:shape id="Text Box 6" o:spid="_x0000_s1026" type="#_x0000_t202" style="position:absolute;left:0;text-align:left;margin-left:1.1pt;margin-top:16.3pt;width:452.55pt;height:4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YcQIAACwFAAAOAAAAZHJzL2Uyb0RvYy54bWysVEtvGjEQvlfqf7B8LwsUCEFZIpooVSWU&#10;RCVVzsZrh1Vtj2sbdumvz9j7CE05Vb3s2jPfvL/x1XWtFTkI50swOR0NhpQIw6EozUtOfzzdfZpT&#10;4gMzBVNgRE6PwtPr5ccPV5VdiDHsQBXCEXRi/KKyOd2FYBdZ5vlOaOYHYIVBpQSnWcCre8kKxyr0&#10;rlU2Hg5nWQWusA648B6lt42SLpN/KQUPD1J6EYjKKeYW0tel7zZ+s+UVW7w4Znclb9Ng/5CFZqXB&#10;oL2rWxYY2bvyL1e65A48yDDgoDOQsuQi1YDVjIbvqtnsmBWpFmyOt32b/P9zy+8Pj46URU5nlBim&#10;cURPog7kC9RkFrtTWb9A0MYiLNQoxil3co/CWHQtnY5/LIegHvt87HsbnXEUTi8mF5/nU0o46qbj&#10;y+l0No9+sjdz63z4KkCTeMipw+GlnrLD2ocG2kFiNGWiLObX5JFO4ahEo/wuJNaFkcfJSWKUuFGO&#10;HBhygXEuTEiVYAbKIDqayVKp3nB0zlD1Ri02monEtN5weM7wz4i9RYoKJvTGujTgzjkofnbpygbf&#10;Vd/UHMsP9bZuZ7aF4ogjc9BQ3lt+V2Jb18yHR+aQ4zgl3NvwgB+poMoptCdKduB+n5NHPFIPtZRU&#10;uDM59b/2zAlK1DeDpLwcTSZxydJlMr0Y48WdaranGrPXN4CjGOELYXk6RnxQ3VE60M+43qsYFVXM&#10;cIyd09Adb0Kzyfg8cLFaJRCulWVhbTaWR9exvZE0T/Uzc7ZlVkBS3kO3XWzxjmANNloaWO0DyDKx&#10;Lza46WrbeFzJxN/2+Yg7f3pPqLdHbvkKAAD//wMAUEsDBBQABgAIAAAAIQB7r7P93QAAAAgBAAAP&#10;AAAAZHJzL2Rvd25yZXYueG1sTI/BTsMwEETvSPyDtUjcqN1UhBCyqVBE1RsSLeLsxEsSNV5HsZum&#10;f485wXE0o5k3xXaxg5hp8r1jhPVKgSBunOm5Rfg87h4yED5oNnpwTAhX8rAtb28KnRt34Q+aD6EV&#10;sYR9rhG6EMZcSt90ZLVfuZE4et9usjpEObXSTPoSy+0gE6VSaXXPcaHTI1UdNafD2SJUqtr5eb+u&#10;06vrT1/ZG7+PzR7x/m55fQERaAl/YfjFj+hQRqbandl4MSAkSQwibJIURLSf1dMGRI2QpekjyLKQ&#10;/w+UPwAAAP//AwBQSwECLQAUAAYACAAAACEAtoM4kv4AAADhAQAAEwAAAAAAAAAAAAAAAAAAAAAA&#10;W0NvbnRlbnRfVHlwZXNdLnhtbFBLAQItABQABgAIAAAAIQA4/SH/1gAAAJQBAAALAAAAAAAAAAAA&#10;AAAAAC8BAABfcmVscy8ucmVsc1BLAQItABQABgAIAAAAIQD5+sVYcQIAACwFAAAOAAAAAAAAAAAA&#10;AAAAAC4CAABkcnMvZTJvRG9jLnhtbFBLAQItABQABgAIAAAAIQB7r7P93QAAAAgBAAAPAAAAAAAA&#10;AAAAAAAAAMsEAABkcnMvZG93bnJldi54bWxQSwUGAAAAAAQABADzAAAA1QUAAAAA&#10;" fillcolor="white [3201]" strokecolor="#4f81bd [3204]" strokeweight="2pt">
                <v:textbox>
                  <w:txbxContent>
                    <w:p w14:paraId="45958AC9" w14:textId="77777777" w:rsidR="006656F9" w:rsidRPr="00325EAC" w:rsidRDefault="006656F9" w:rsidP="00F4251A">
                      <w:pPr>
                        <w:spacing w:line="276" w:lineRule="auto"/>
                        <w:jc w:val="both"/>
                        <w:rPr>
                          <w:szCs w:val="24"/>
                          <w:lang w:val="hr-HR"/>
                        </w:rPr>
                      </w:pPr>
                      <w:r w:rsidRPr="0057506E">
                        <w:rPr>
                          <w:b/>
                          <w:szCs w:val="24"/>
                          <w:lang w:val="hr-HR"/>
                        </w:rPr>
                        <w:t>Javni dug</w:t>
                      </w:r>
                      <w:r w:rsidRPr="00325EAC">
                        <w:rPr>
                          <w:szCs w:val="24"/>
                          <w:lang w:val="hr-HR"/>
                        </w:rPr>
                        <w:t xml:space="preserve"> predstavlja bruto nominalnu vrijednost duga sektora opće države</w:t>
                      </w:r>
                      <w:r w:rsidRPr="00325EAC">
                        <w:rPr>
                          <w:lang w:val="hr-HR"/>
                        </w:rPr>
                        <w:t>, a prema pravilima statističkog izvještavanja EU</w:t>
                      </w:r>
                      <w:r w:rsidRPr="00325EAC">
                        <w:rPr>
                          <w:szCs w:val="24"/>
                          <w:lang w:val="hr-HR"/>
                        </w:rPr>
                        <w:t xml:space="preserve">. Dug se odnosi na jedinice klasificirane prema službenoj sektorskoj klasifikaciji u sektor opće države, a čine ga obveze po sljedećim financijskim instrumentima: gotovina i depoziti, dužnički vrijednosni papiri te krediti i zajmovi. Sukladno Sporazumu o suradnji na području statistike nacionalnih računa opće države i s njom povezanih statistika, HNB je odgovoran za godišnje i tromjesečne statistike financijskih računa sektora opće države te tromjesečno izvješćivanje o dugu prema kriteriju iz Maastrichta prema </w:t>
                      </w:r>
                      <w:r>
                        <w:rPr>
                          <w:szCs w:val="24"/>
                          <w:lang w:val="hr-HR"/>
                        </w:rPr>
                        <w:t xml:space="preserve">metodologiji </w:t>
                      </w:r>
                      <w:r w:rsidRPr="00325EAC">
                        <w:rPr>
                          <w:szCs w:val="24"/>
                          <w:lang w:val="hr-HR"/>
                        </w:rPr>
                        <w:t xml:space="preserve">ESA 2010. Serije podataka o dugu opće države objavljuju se u Biltenu HNB-a. </w:t>
                      </w:r>
                    </w:p>
                    <w:p w14:paraId="14FA09ED" w14:textId="77777777" w:rsidR="006656F9" w:rsidRPr="00325EAC" w:rsidRDefault="006656F9" w:rsidP="00F4251A">
                      <w:pPr>
                        <w:pStyle w:val="Obicanparagraf"/>
                        <w:spacing w:before="240" w:after="43" w:line="276" w:lineRule="auto"/>
                        <w:rPr>
                          <w:rFonts w:asciiTheme="minorHAnsi" w:hAnsiTheme="minorHAnsi"/>
                          <w:szCs w:val="24"/>
                        </w:rPr>
                      </w:pPr>
                      <w:r w:rsidRPr="00325EAC">
                        <w:rPr>
                          <w:rFonts w:asciiTheme="minorHAnsi" w:hAnsiTheme="minorHAnsi"/>
                          <w:b/>
                          <w:szCs w:val="24"/>
                        </w:rPr>
                        <w:t>Sektor opće države</w:t>
                      </w:r>
                      <w:r w:rsidRPr="00325EAC">
                        <w:rPr>
                          <w:rFonts w:asciiTheme="minorHAnsi" w:hAnsiTheme="minorHAnsi"/>
                          <w:szCs w:val="24"/>
                        </w:rPr>
                        <w:t xml:space="preserve"> sastoji se od tri podsektora: središnje države, lokalne države i fondova socijalne sigurnosti. </w:t>
                      </w:r>
                    </w:p>
                    <w:p w14:paraId="575B98D2" w14:textId="77777777" w:rsidR="006656F9" w:rsidRPr="00325EAC" w:rsidRDefault="006656F9" w:rsidP="00F4251A">
                      <w:pPr>
                        <w:pStyle w:val="Obicanparagraf"/>
                        <w:spacing w:before="240" w:after="43" w:line="276" w:lineRule="auto"/>
                        <w:rPr>
                          <w:rFonts w:asciiTheme="minorHAnsi" w:hAnsiTheme="minorHAnsi"/>
                          <w:szCs w:val="24"/>
                        </w:rPr>
                      </w:pPr>
                      <w:r w:rsidRPr="00325EAC">
                        <w:rPr>
                          <w:rFonts w:asciiTheme="minorHAnsi" w:hAnsiTheme="minorHAnsi"/>
                          <w:b/>
                          <w:szCs w:val="24"/>
                        </w:rPr>
                        <w:t>Središnja država</w:t>
                      </w:r>
                      <w:r w:rsidRPr="00325EAC">
                        <w:rPr>
                          <w:rFonts w:asciiTheme="minorHAnsi" w:hAnsiTheme="minorHAnsi"/>
                          <w:szCs w:val="24"/>
                        </w:rPr>
                        <w:t xml:space="preserve"> obuhvaća državne upravne organizacije, državne agencije te ostale vladine institucije koje imaju nadležnost nad cijelim gospodarskim teritorijem te su odvojene od fondova socijalne sigurnosti. Središnja država uključuje i neprofitne institucije koje su pod kontrolom i uglavnom ih financira središnja vlast. Središnja država obuhvaća korisnike državnog proračuna, izvanproračunske korisnike (Hrvatske vode - HV, Fond za zaštitu okoliša i energetsku učinkovitost - FZOEU, Hrvatske ceste - HC, Državnu agenciju za osiguranje štednih uloga i sanaciju banaka - DAB, Hrvatski fond za privatizaciju - HFP do 31. ožujka 2011., Agenciju za upravljanje državnom imovinom - AUDIO do 30. rujna 2013., Centar za restrukturiranje i prodaju - CERP kao njezinih pravnih slijednika), HŽ Infrastrukturu - HŽI, </w:t>
                      </w:r>
                      <w:r>
                        <w:rPr>
                          <w:rFonts w:asciiTheme="minorHAnsi" w:hAnsiTheme="minorHAnsi"/>
                          <w:szCs w:val="24"/>
                        </w:rPr>
                        <w:t xml:space="preserve">HŽ Putnički prijevoz – HŽ PP, </w:t>
                      </w:r>
                      <w:r w:rsidRPr="00325EAC">
                        <w:rPr>
                          <w:rFonts w:asciiTheme="minorHAnsi" w:hAnsiTheme="minorHAnsi"/>
                          <w:szCs w:val="24"/>
                        </w:rPr>
                        <w:t>Hrvatsku radio televiziju - HRT, Hrvatske autoceste - HAC, Autocest</w:t>
                      </w:r>
                      <w:r>
                        <w:rPr>
                          <w:rFonts w:asciiTheme="minorHAnsi" w:hAnsiTheme="minorHAnsi"/>
                          <w:szCs w:val="24"/>
                        </w:rPr>
                        <w:t>u</w:t>
                      </w:r>
                      <w:r w:rsidRPr="00325EAC">
                        <w:rPr>
                          <w:rFonts w:asciiTheme="minorHAnsi" w:hAnsiTheme="minorHAnsi"/>
                          <w:szCs w:val="24"/>
                        </w:rPr>
                        <w:t xml:space="preserve"> Rijeka – Zagreb - ARZ, </w:t>
                      </w:r>
                      <w:r>
                        <w:rPr>
                          <w:rFonts w:asciiTheme="minorHAnsi" w:hAnsiTheme="minorHAnsi"/>
                          <w:szCs w:val="24"/>
                        </w:rPr>
                        <w:t>H</w:t>
                      </w:r>
                      <w:r w:rsidRPr="00325EAC">
                        <w:rPr>
                          <w:rFonts w:asciiTheme="minorHAnsi" w:hAnsiTheme="minorHAnsi"/>
                          <w:szCs w:val="24"/>
                        </w:rPr>
                        <w:t>rvatsk</w:t>
                      </w:r>
                      <w:r>
                        <w:rPr>
                          <w:rFonts w:asciiTheme="minorHAnsi" w:hAnsiTheme="minorHAnsi"/>
                          <w:szCs w:val="24"/>
                        </w:rPr>
                        <w:t>u</w:t>
                      </w:r>
                      <w:r w:rsidRPr="00325EAC">
                        <w:rPr>
                          <w:rFonts w:asciiTheme="minorHAnsi" w:hAnsiTheme="minorHAnsi"/>
                          <w:szCs w:val="24"/>
                        </w:rPr>
                        <w:t xml:space="preserve"> bank</w:t>
                      </w:r>
                      <w:r>
                        <w:rPr>
                          <w:rFonts w:asciiTheme="minorHAnsi" w:hAnsiTheme="minorHAnsi"/>
                          <w:szCs w:val="24"/>
                        </w:rPr>
                        <w:t>u</w:t>
                      </w:r>
                      <w:r w:rsidRPr="00325EAC">
                        <w:rPr>
                          <w:rFonts w:asciiTheme="minorHAnsi" w:hAnsiTheme="minorHAnsi"/>
                          <w:szCs w:val="24"/>
                        </w:rPr>
                        <w:t xml:space="preserve"> za obnovu i razvitak </w:t>
                      </w:r>
                      <w:r>
                        <w:rPr>
                          <w:rFonts w:asciiTheme="minorHAnsi" w:hAnsiTheme="minorHAnsi"/>
                          <w:szCs w:val="24"/>
                        </w:rPr>
                        <w:t>–</w:t>
                      </w:r>
                      <w:r w:rsidRPr="00325EAC">
                        <w:rPr>
                          <w:rFonts w:asciiTheme="minorHAnsi" w:hAnsiTheme="minorHAnsi"/>
                          <w:szCs w:val="24"/>
                        </w:rPr>
                        <w:t xml:space="preserve"> HBOR</w:t>
                      </w:r>
                      <w:r>
                        <w:rPr>
                          <w:rFonts w:asciiTheme="minorHAnsi" w:hAnsiTheme="minorHAnsi"/>
                          <w:szCs w:val="24"/>
                        </w:rPr>
                        <w:t xml:space="preserve">, </w:t>
                      </w:r>
                      <w:r w:rsidRPr="00F4251A">
                        <w:rPr>
                          <w:rFonts w:asciiTheme="minorHAnsi" w:hAnsiTheme="minorHAnsi"/>
                          <w:szCs w:val="24"/>
                        </w:rPr>
                        <w:t>Fond za financiranje razgradnje i zbrinjavanja radioaktivnog otpada i istrošenoga nuklearnog goriva Nuklearne elektrane Krško</w:t>
                      </w:r>
                      <w:r>
                        <w:rPr>
                          <w:rFonts w:asciiTheme="minorHAnsi" w:hAnsiTheme="minorHAnsi"/>
                          <w:szCs w:val="24"/>
                        </w:rPr>
                        <w:t xml:space="preserve"> - NEK,</w:t>
                      </w:r>
                      <w:r w:rsidRPr="00325EAC">
                        <w:rPr>
                          <w:rFonts w:asciiTheme="minorHAnsi" w:hAnsiTheme="minorHAnsi"/>
                          <w:szCs w:val="24"/>
                        </w:rPr>
                        <w:t xml:space="preserve"> Hrvatsk</w:t>
                      </w:r>
                      <w:r>
                        <w:rPr>
                          <w:rFonts w:asciiTheme="minorHAnsi" w:hAnsiTheme="minorHAnsi"/>
                          <w:szCs w:val="24"/>
                        </w:rPr>
                        <w:t>og</w:t>
                      </w:r>
                      <w:r w:rsidRPr="00325EAC">
                        <w:rPr>
                          <w:rFonts w:asciiTheme="minorHAnsi" w:hAnsiTheme="minorHAnsi"/>
                          <w:szCs w:val="24"/>
                        </w:rPr>
                        <w:t xml:space="preserve"> oper</w:t>
                      </w:r>
                      <w:r>
                        <w:rPr>
                          <w:rFonts w:asciiTheme="minorHAnsi" w:hAnsiTheme="minorHAnsi"/>
                          <w:szCs w:val="24"/>
                        </w:rPr>
                        <w:t xml:space="preserve">atora tržišta energije – HROTE, Agenciju Alan, Lučku upravu Zadar – LUZ te Hrvatsku turističku zajednicu - HTZ, a </w:t>
                      </w:r>
                      <w:r w:rsidRPr="00325EAC">
                        <w:rPr>
                          <w:rFonts w:asciiTheme="minorHAnsi" w:hAnsiTheme="minorHAnsi"/>
                          <w:szCs w:val="24"/>
                        </w:rPr>
                        <w:t>koji su reklasificirani u sekt</w:t>
                      </w:r>
                      <w:r>
                        <w:rPr>
                          <w:rFonts w:asciiTheme="minorHAnsi" w:hAnsiTheme="minorHAnsi"/>
                          <w:szCs w:val="24"/>
                        </w:rPr>
                        <w:t xml:space="preserve">or </w:t>
                      </w:r>
                      <w:r w:rsidRPr="00325EAC">
                        <w:rPr>
                          <w:rFonts w:asciiTheme="minorHAnsi" w:hAnsiTheme="minorHAnsi"/>
                          <w:szCs w:val="24"/>
                        </w:rPr>
                        <w:t>središnje države.</w:t>
                      </w:r>
                    </w:p>
                  </w:txbxContent>
                </v:textbox>
              </v:shape>
            </w:pict>
          </mc:Fallback>
        </mc:AlternateContent>
      </w:r>
    </w:p>
    <w:p w14:paraId="14F5ED12" w14:textId="77777777" w:rsidR="009A73AB" w:rsidRPr="002D5C87" w:rsidRDefault="009A73AB" w:rsidP="00450D70">
      <w:pPr>
        <w:pStyle w:val="Obicanparagraf"/>
        <w:spacing w:before="240" w:after="43" w:line="276" w:lineRule="auto"/>
        <w:rPr>
          <w:rFonts w:asciiTheme="minorHAnsi" w:hAnsiTheme="minorHAnsi"/>
          <w:color w:val="000000"/>
          <w:sz w:val="24"/>
          <w:szCs w:val="24"/>
          <w:lang w:eastAsia="hr-HR"/>
        </w:rPr>
      </w:pPr>
    </w:p>
    <w:p w14:paraId="39948A1B"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1282FAFD"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45E372D5"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41B934B0"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79271F92"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6CF329DC"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4799C6A5"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71668D2B"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064293AD"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4327FA70"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6FBF6311"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1C486EDA" w14:textId="77777777" w:rsidR="00325EAC" w:rsidRPr="002D5C87" w:rsidRDefault="00325EAC" w:rsidP="00450D70">
      <w:pPr>
        <w:pStyle w:val="Obicanparagraf"/>
        <w:spacing w:before="240" w:after="43" w:line="276" w:lineRule="auto"/>
        <w:rPr>
          <w:rFonts w:asciiTheme="minorHAnsi" w:hAnsiTheme="minorHAnsi"/>
          <w:color w:val="000000"/>
          <w:sz w:val="24"/>
          <w:szCs w:val="24"/>
          <w:lang w:eastAsia="hr-HR"/>
        </w:rPr>
      </w:pPr>
    </w:p>
    <w:p w14:paraId="21D1556C" w14:textId="77777777" w:rsidR="00325EAC" w:rsidRPr="002D5C87" w:rsidRDefault="00325EAC" w:rsidP="007E4ECA">
      <w:pPr>
        <w:pStyle w:val="Obicanparagraf"/>
        <w:spacing w:before="240" w:after="43" w:line="276" w:lineRule="auto"/>
        <w:rPr>
          <w:rFonts w:asciiTheme="minorHAnsi" w:hAnsiTheme="minorHAnsi"/>
          <w:b/>
          <w:szCs w:val="24"/>
        </w:rPr>
      </w:pPr>
      <w:r w:rsidRPr="002D5C87">
        <w:rPr>
          <w:rFonts w:asciiTheme="minorHAnsi" w:hAnsiTheme="minorHAnsi"/>
          <w:noProof/>
          <w:color w:val="000000"/>
          <w:sz w:val="24"/>
          <w:szCs w:val="24"/>
          <w:lang w:eastAsia="hr-HR"/>
        </w:rPr>
        <w:lastRenderedPageBreak/>
        <mc:AlternateContent>
          <mc:Choice Requires="wps">
            <w:drawing>
              <wp:anchor distT="0" distB="0" distL="114300" distR="114300" simplePos="0" relativeHeight="251655168" behindDoc="0" locked="0" layoutInCell="1" allowOverlap="1" wp14:anchorId="28E0DDB2" wp14:editId="55A5C337">
                <wp:simplePos x="0" y="0"/>
                <wp:positionH relativeFrom="column">
                  <wp:posOffset>0</wp:posOffset>
                </wp:positionH>
                <wp:positionV relativeFrom="paragraph">
                  <wp:posOffset>0</wp:posOffset>
                </wp:positionV>
                <wp:extent cx="2147483645" cy="2147483645"/>
                <wp:effectExtent l="0" t="0" r="0" b="0"/>
                <wp:wrapNone/>
                <wp:docPr id="4" name="Text Box 4"/>
                <wp:cNvGraphicFramePr/>
                <a:graphic xmlns:a="http://schemas.openxmlformats.org/drawingml/2006/main">
                  <a:graphicData uri="http://schemas.microsoft.com/office/word/2010/wordprocessingShape">
                    <wps:wsp>
                      <wps:cNvSpPr txBox="1"/>
                      <wps:spPr>
                        <a:xfrm>
                          <a:off x="0" y="0"/>
                          <a:ext cx="2147483645" cy="2147483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686A3" id="Text Box 4" o:spid="_x0000_s1026" type="#_x0000_t202" style="position:absolute;margin-left:0;margin-top:0;width:169093.2pt;height:169093.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TniwIAAK4FAAAOAAAAZHJzL2Uyb0RvYy54bWysVEtvGyEQvlfqf0Dcm7WdzaNW1pHrKFWl&#10;KInqVDljFmwUYChgr91fn4Fdv9JcUvWyO8N8zONjZq6u10aTlfBBga1o/6RHibAcamXnFf31dPvl&#10;kpIQma2ZBisquhGBXo8+f7pq3FAMYAG6Fp6gExuGjavoIkY3LIrAF8KwcAJOWDRK8IZFVP28qD1r&#10;0LvRxaDXOy8a8LXzwEUIeHrTGuko+5dS8PggZRCR6IpibjF/ff7O0rcYXbHh3DO3ULxLg/1DFoYp&#10;i0F3rm5YZGTp1V+ujOIeAsh4wsEUIKXiIteA1fR7b6qZLpgTuRYkJ7gdTeH/ueX3q0dPVF3RkhLL&#10;DD7Rk1hH8g3WpEzsNC4METR1CItrPMZX3p4HPExFr6U36Y/lELQjz5sdt8kZx8NBv7woL0/PyzNK&#10;OJoPdIxS7J04H+J3AYYkoaIenzAzy1Z3IbbQLSTFDKBVfau0zkpqGzHRnqwYPriOOVV0foTSljQV&#10;PT8962XHR7bkend/phl/ScUee0BN2xRO5Abr0kpEtYRkKW60SBhtfwqJBGde3smRcS7sLs+MTiiJ&#10;FX3kYoffZ/WRy20deCNHBht3l42y4FuWjqmtX7bUyhaPJB3UncQZ1BtsGg/t0AXHbxWye8dCfGQe&#10;pwz7BDdHfMCP1IBPAp1EyQL8n/fOEx6bH62UNDi1FQ2/l8wLSvQPi2PxtV+WacyzUp5dDFDxh5bZ&#10;ocUuzQSwT/q4oxzPYsJHvRWlB/OMC2acoqKJWY6xKxq34iS2uwQXFBfjcQbhYDsW7+zU8eQ6cZq6&#10;6mn9zLzrujriWNzDdr7Z8E1zt9h008J4GUGq3Pl7Vju2cSnk5uwWWNo6h3pG7dfs6BUAAP//AwBQ&#10;SwMEFAAGAAgAAAAhAOcmUYbZAAAACwEAAA8AAABkcnMvZG93bnJldi54bWxMj8FOwzAQRO9I/IO1&#10;SNyoU4oqk8apABUunCiI8zbe2lZjO7LdNPw9hkt7We1qRrNvmvXkejZSTDZ4CfNZBYx8F5T1WsLX&#10;5+udAJYyeoV98CThhxKs2+urBmsVTv6Dxm3WrIT4VKMEk/NQc546Qw7TLAzki7YP0WEuZ9RcRTyV&#10;cNfz+6pacofWlw8GB3ox1B22Rydh86wfdScwmo1Q1o7T9/5dv0l5ezM9rYBlmvLZDH/4BR3awrQL&#10;R68S6yWUIvl/Fm2xEHOxfAC2O++8bfhlh/YXAAD//wMAUEsBAi0AFAAGAAgAAAAhALaDOJL+AAAA&#10;4QEAABMAAAAAAAAAAAAAAAAAAAAAAFtDb250ZW50X1R5cGVzXS54bWxQSwECLQAUAAYACAAAACEA&#10;OP0h/9YAAACUAQAACwAAAAAAAAAAAAAAAAAvAQAAX3JlbHMvLnJlbHNQSwECLQAUAAYACAAAACEA&#10;tbwU54sCAACuBQAADgAAAAAAAAAAAAAAAAAuAgAAZHJzL2Uyb0RvYy54bWxQSwECLQAUAAYACAAA&#10;ACEA5yZRhtkAAAALAQAADwAAAAAAAAAAAAAAAADlBAAAZHJzL2Rvd25yZXYueG1sUEsFBgAAAAAE&#10;AAQA8wAAAOsFAAAAAA==&#10;" fillcolor="white [3201]" strokeweight=".5pt"/>
            </w:pict>
          </mc:Fallback>
        </mc:AlternateContent>
      </w:r>
    </w:p>
    <w:p w14:paraId="76C6DADC" w14:textId="77777777" w:rsidR="00325EAC" w:rsidRPr="002D5C87" w:rsidRDefault="008B368B" w:rsidP="007E4ECA">
      <w:pPr>
        <w:pStyle w:val="Obicanparagraf"/>
        <w:spacing w:before="240" w:after="43" w:line="276" w:lineRule="auto"/>
        <w:rPr>
          <w:rFonts w:asciiTheme="minorHAnsi" w:hAnsiTheme="minorHAnsi"/>
          <w:b/>
          <w:szCs w:val="24"/>
        </w:rPr>
      </w:pPr>
      <w:r w:rsidRPr="002D5C87">
        <w:rPr>
          <w:rFonts w:asciiTheme="minorHAnsi" w:hAnsiTheme="minorHAnsi"/>
          <w:noProof/>
          <w:color w:val="000000"/>
          <w:sz w:val="24"/>
          <w:szCs w:val="24"/>
          <w:lang w:eastAsia="hr-HR"/>
        </w:rPr>
        <mc:AlternateContent>
          <mc:Choice Requires="wps">
            <w:drawing>
              <wp:anchor distT="0" distB="0" distL="114300" distR="114300" simplePos="0" relativeHeight="251663360" behindDoc="0" locked="0" layoutInCell="1" allowOverlap="1" wp14:anchorId="533EEEBE" wp14:editId="3059E017">
                <wp:simplePos x="0" y="0"/>
                <wp:positionH relativeFrom="column">
                  <wp:posOffset>18415</wp:posOffset>
                </wp:positionH>
                <wp:positionV relativeFrom="paragraph">
                  <wp:posOffset>59055</wp:posOffset>
                </wp:positionV>
                <wp:extent cx="5709285" cy="2562225"/>
                <wp:effectExtent l="0" t="0" r="24765" b="28575"/>
                <wp:wrapNone/>
                <wp:docPr id="7" name="Text Box 7"/>
                <wp:cNvGraphicFramePr/>
                <a:graphic xmlns:a="http://schemas.openxmlformats.org/drawingml/2006/main">
                  <a:graphicData uri="http://schemas.microsoft.com/office/word/2010/wordprocessingShape">
                    <wps:wsp>
                      <wps:cNvSpPr txBox="1"/>
                      <wps:spPr>
                        <a:xfrm>
                          <a:off x="0" y="0"/>
                          <a:ext cx="5709285" cy="25622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E00D413" w14:textId="77777777" w:rsidR="006656F9" w:rsidRPr="00325EAC" w:rsidRDefault="006656F9" w:rsidP="0057506E">
                            <w:pPr>
                              <w:pStyle w:val="Obicanparagraf"/>
                              <w:spacing w:before="240" w:after="43" w:line="276" w:lineRule="auto"/>
                              <w:rPr>
                                <w:rFonts w:asciiTheme="minorHAnsi" w:hAnsiTheme="minorHAnsi"/>
                                <w:szCs w:val="24"/>
                              </w:rPr>
                            </w:pPr>
                            <w:r w:rsidRPr="00325EAC">
                              <w:rPr>
                                <w:rFonts w:asciiTheme="minorHAnsi" w:hAnsiTheme="minorHAnsi"/>
                                <w:b/>
                                <w:szCs w:val="24"/>
                              </w:rPr>
                              <w:t>Lokalna država</w:t>
                            </w:r>
                            <w:r w:rsidRPr="00325EAC">
                              <w:rPr>
                                <w:rFonts w:asciiTheme="minorHAnsi" w:hAnsiTheme="minorHAnsi"/>
                                <w:szCs w:val="24"/>
                              </w:rPr>
                              <w:t xml:space="preserve"> obuhvaća jedinice lokalne i područne (regionalne) samouprave i korisnike lokalnih proračuna. Uključuje i neprofitne institucije koje su pod kontrolom lokalne vlasti i uglavnom ih ona financira</w:t>
                            </w:r>
                            <w:r>
                              <w:rPr>
                                <w:rFonts w:asciiTheme="minorHAnsi" w:hAnsiTheme="minorHAnsi"/>
                                <w:szCs w:val="24"/>
                              </w:rPr>
                              <w:t xml:space="preserve"> kao i druge institucije koje zadovoljavaju kriterije metodologije ESA 2010</w:t>
                            </w:r>
                            <w:r w:rsidRPr="00325EAC">
                              <w:rPr>
                                <w:rFonts w:asciiTheme="minorHAnsi" w:hAnsiTheme="minorHAnsi"/>
                                <w:szCs w:val="24"/>
                              </w:rPr>
                              <w:t xml:space="preserve">. </w:t>
                            </w:r>
                          </w:p>
                          <w:p w14:paraId="70D49F10" w14:textId="77777777" w:rsidR="006656F9" w:rsidRPr="00325EAC" w:rsidRDefault="006656F9" w:rsidP="0057506E">
                            <w:pPr>
                              <w:pStyle w:val="Obicanparagraf"/>
                              <w:spacing w:before="240" w:after="43" w:line="276" w:lineRule="auto"/>
                              <w:rPr>
                                <w:rFonts w:asciiTheme="minorHAnsi" w:hAnsiTheme="minorHAnsi"/>
                                <w:szCs w:val="24"/>
                              </w:rPr>
                            </w:pPr>
                            <w:r w:rsidRPr="00325EAC">
                              <w:rPr>
                                <w:rFonts w:asciiTheme="minorHAnsi" w:hAnsiTheme="minorHAnsi"/>
                                <w:b/>
                                <w:szCs w:val="24"/>
                              </w:rPr>
                              <w:t>Podsektor fondova socijalne sigurnosti</w:t>
                            </w:r>
                            <w:r w:rsidRPr="00325EAC">
                              <w:rPr>
                                <w:rFonts w:asciiTheme="minorHAnsi" w:hAnsiTheme="minorHAnsi"/>
                                <w:szCs w:val="24"/>
                              </w:rPr>
                              <w:t xml:space="preserve"> uključuje sve institucionalne jedinice čija je primarna djelatnost administracija sustava socijalne sigurnosti (Hrvatski zavod za zdravstveno osiguranje, Hrvatski zavod za mirovinsko osiguranje i Hrvatski zavod za zapošljavanje).</w:t>
                            </w:r>
                          </w:p>
                          <w:p w14:paraId="27E71190" w14:textId="77777777" w:rsidR="006656F9" w:rsidRPr="00325EAC" w:rsidRDefault="006656F9" w:rsidP="0057506E">
                            <w:pPr>
                              <w:spacing w:before="240" w:line="276" w:lineRule="auto"/>
                              <w:jc w:val="both"/>
                              <w:rPr>
                                <w:szCs w:val="24"/>
                                <w:lang w:val="hr-HR"/>
                              </w:rPr>
                            </w:pPr>
                            <w:r w:rsidRPr="0057506E">
                              <w:rPr>
                                <w:b/>
                                <w:szCs w:val="24"/>
                                <w:lang w:val="hr-HR"/>
                              </w:rPr>
                              <w:t>Državni dug</w:t>
                            </w:r>
                            <w:r w:rsidRPr="00325EAC">
                              <w:rPr>
                                <w:szCs w:val="24"/>
                                <w:lang w:val="hr-HR"/>
                              </w:rPr>
                              <w:t xml:space="preserve"> u ovom dokumentu </w:t>
                            </w:r>
                            <w:r w:rsidRPr="00325EAC">
                              <w:rPr>
                                <w:lang w:val="hr-HR"/>
                              </w:rPr>
                              <w:t xml:space="preserve">predstavlja dio javnog duga koji se izravno podmiruje iz državnog proračuna, a čine ga obveze po sljedećim instrumentima: obveznice, trezorski zapisi, krediti i zajmovi. </w:t>
                            </w:r>
                          </w:p>
                          <w:p w14:paraId="669998C0" w14:textId="77777777" w:rsidR="006656F9" w:rsidRDefault="006656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EEEBE" id="Text Box 7" o:spid="_x0000_s1027" type="#_x0000_t202" style="position:absolute;left:0;text-align:left;margin-left:1.45pt;margin-top:4.65pt;width:449.55pt;height:20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iLcwIAADMFAAAOAAAAZHJzL2Uyb0RvYy54bWysVN9v2yAQfp+0/wHxvtqxkqaN4lRZqk6T&#10;qrZaOvWZYEisAceAxM7++h04drsuT9NebLj77vd3zG9archBOF+DKenoIqdEGA5VbbYl/f589+mK&#10;Eh+YqZgCI0p6FJ7eLD5+mDd2JgrYgaqEI+jE+FljS7oLwc6yzPOd0MxfgBUGlRKcZgGvbptVjjXo&#10;XausyPPLrAFXWQdceI/S205JF8m/lIKHRym9CESVFHML6evSdxO/2WLOZlvH7K7mpzTYP2ShWW0w&#10;6ODqlgVG9q7+y5WuuQMPMlxw0BlIWXORasBqRvm7atY7ZkWqBZvj7dAm///c8ofDkyN1VdIpJYZp&#10;HNGzaAP5DC2Zxu401s8QtLYICy2Kccq93KMwFt1Kp+MfyyGoxz4fh95GZxyFk2l+XVxNKOGoKyaX&#10;RVFMop/s1dw6H74I0CQeSupweKmn7HDvQwftITGaMlEW8+vySKdwVKJTfhMS68LIRXKSGCVWypED&#10;Qy4wzoUJqRLMQBlERzNZKzUYjs4ZqsHohI1mIjFtMMzPGf4ZcbBIUcGEwVjXBtw5B9WPPl3Z4fvq&#10;u5pj+aHdtGmYw4g2UB1xcg465nvL72rs7j3z4Yk5pDoOC9c3POJHKmhKCqcTJTtwv87JIx4ZiFpK&#10;Glydkvqfe+YEJeqrQW5ej8bjuGvpMp5MC7y4t5rNW43Z6xXgREb4UFiejhEfVH+UDvQLbvkyRkUV&#10;MxxjlzT0x1XoFhpfCS6WywTC7bIs3Ju15dF17HLkznP7wpw9ESwgNx+gXzI2e8ezDhstDSz3AWSd&#10;SBj73HX11H/czETj0ysSV//tPaFe37rFbwAAAP//AwBQSwMEFAAGAAgAAAAhAK9DVvbbAAAABwEA&#10;AA8AAABkcnMvZG93bnJldi54bWxMj0FLxDAUhO+C/yE8wZubtMrS1r4uUlz2JriK57R5tmWbl9Jk&#10;u91/bzzpcZhh5ptyt9pRLDT7wTFCslEgiFtnBu4QPj/2DxkIHzQbPTomhCt52FW3N6UujLvwOy3H&#10;0IlYwr7QCH0IUyGlb3uy2m/cRBy9bzdbHaKcO2lmfYnldpSpUltp9cBxodcT1T21p+PZItSq3vvl&#10;kDTbqxtOX9krv03tAfH+bn15BhFoDX9h+MWP6FBFpsad2XgxIqR5DCLkjyCim6s0PmsQnpI0A1mV&#10;8j9/9QMAAP//AwBQSwECLQAUAAYACAAAACEAtoM4kv4AAADhAQAAEwAAAAAAAAAAAAAAAAAAAAAA&#10;W0NvbnRlbnRfVHlwZXNdLnhtbFBLAQItABQABgAIAAAAIQA4/SH/1gAAAJQBAAALAAAAAAAAAAAA&#10;AAAAAC8BAABfcmVscy8ucmVsc1BLAQItABQABgAIAAAAIQBC3IiLcwIAADMFAAAOAAAAAAAAAAAA&#10;AAAAAC4CAABkcnMvZTJvRG9jLnhtbFBLAQItABQABgAIAAAAIQCvQ1b22wAAAAcBAAAPAAAAAAAA&#10;AAAAAAAAAM0EAABkcnMvZG93bnJldi54bWxQSwUGAAAAAAQABADzAAAA1QUAAAAA&#10;" fillcolor="white [3201]" strokecolor="#4f81bd [3204]" strokeweight="2pt">
                <v:textbox>
                  <w:txbxContent>
                    <w:p w14:paraId="2E00D413" w14:textId="77777777" w:rsidR="006656F9" w:rsidRPr="00325EAC" w:rsidRDefault="006656F9" w:rsidP="0057506E">
                      <w:pPr>
                        <w:pStyle w:val="Obicanparagraf"/>
                        <w:spacing w:before="240" w:after="43" w:line="276" w:lineRule="auto"/>
                        <w:rPr>
                          <w:rFonts w:asciiTheme="minorHAnsi" w:hAnsiTheme="minorHAnsi"/>
                          <w:szCs w:val="24"/>
                        </w:rPr>
                      </w:pPr>
                      <w:r w:rsidRPr="00325EAC">
                        <w:rPr>
                          <w:rFonts w:asciiTheme="minorHAnsi" w:hAnsiTheme="minorHAnsi"/>
                          <w:b/>
                          <w:szCs w:val="24"/>
                        </w:rPr>
                        <w:t>Lokalna država</w:t>
                      </w:r>
                      <w:r w:rsidRPr="00325EAC">
                        <w:rPr>
                          <w:rFonts w:asciiTheme="minorHAnsi" w:hAnsiTheme="minorHAnsi"/>
                          <w:szCs w:val="24"/>
                        </w:rPr>
                        <w:t xml:space="preserve"> obuhvaća jedinice lokalne i područne (regionalne) samouprave i korisnike lokalnih proračuna. Uključuje i neprofitne institucije koje su pod kontrolom lokalne vlasti i uglavnom ih ona financira</w:t>
                      </w:r>
                      <w:r>
                        <w:rPr>
                          <w:rFonts w:asciiTheme="minorHAnsi" w:hAnsiTheme="minorHAnsi"/>
                          <w:szCs w:val="24"/>
                        </w:rPr>
                        <w:t xml:space="preserve"> kao i druge institucije koje zadovoljavaju kriterije metodologije ESA 2010</w:t>
                      </w:r>
                      <w:r w:rsidRPr="00325EAC">
                        <w:rPr>
                          <w:rFonts w:asciiTheme="minorHAnsi" w:hAnsiTheme="minorHAnsi"/>
                          <w:szCs w:val="24"/>
                        </w:rPr>
                        <w:t xml:space="preserve">. </w:t>
                      </w:r>
                    </w:p>
                    <w:p w14:paraId="70D49F10" w14:textId="77777777" w:rsidR="006656F9" w:rsidRPr="00325EAC" w:rsidRDefault="006656F9" w:rsidP="0057506E">
                      <w:pPr>
                        <w:pStyle w:val="Obicanparagraf"/>
                        <w:spacing w:before="240" w:after="43" w:line="276" w:lineRule="auto"/>
                        <w:rPr>
                          <w:rFonts w:asciiTheme="minorHAnsi" w:hAnsiTheme="minorHAnsi"/>
                          <w:szCs w:val="24"/>
                        </w:rPr>
                      </w:pPr>
                      <w:r w:rsidRPr="00325EAC">
                        <w:rPr>
                          <w:rFonts w:asciiTheme="minorHAnsi" w:hAnsiTheme="minorHAnsi"/>
                          <w:b/>
                          <w:szCs w:val="24"/>
                        </w:rPr>
                        <w:t>Podsektor fondova socijalne sigurnosti</w:t>
                      </w:r>
                      <w:r w:rsidRPr="00325EAC">
                        <w:rPr>
                          <w:rFonts w:asciiTheme="minorHAnsi" w:hAnsiTheme="minorHAnsi"/>
                          <w:szCs w:val="24"/>
                        </w:rPr>
                        <w:t xml:space="preserve"> uključuje sve institucionalne jedinice čija je primarna djelatnost administracija sustava socijalne sigurnosti (Hrvatski zavod za zdravstveno osiguranje, Hrvatski zavod za mirovinsko osiguranje i Hrvatski zavod za zapošljavanje).</w:t>
                      </w:r>
                    </w:p>
                    <w:p w14:paraId="27E71190" w14:textId="77777777" w:rsidR="006656F9" w:rsidRPr="00325EAC" w:rsidRDefault="006656F9" w:rsidP="0057506E">
                      <w:pPr>
                        <w:spacing w:before="240" w:line="276" w:lineRule="auto"/>
                        <w:jc w:val="both"/>
                        <w:rPr>
                          <w:szCs w:val="24"/>
                          <w:lang w:val="hr-HR"/>
                        </w:rPr>
                      </w:pPr>
                      <w:r w:rsidRPr="0057506E">
                        <w:rPr>
                          <w:b/>
                          <w:szCs w:val="24"/>
                          <w:lang w:val="hr-HR"/>
                        </w:rPr>
                        <w:t>Državni dug</w:t>
                      </w:r>
                      <w:r w:rsidRPr="00325EAC">
                        <w:rPr>
                          <w:szCs w:val="24"/>
                          <w:lang w:val="hr-HR"/>
                        </w:rPr>
                        <w:t xml:space="preserve"> u ovom dokumentu </w:t>
                      </w:r>
                      <w:r w:rsidRPr="00325EAC">
                        <w:rPr>
                          <w:lang w:val="hr-HR"/>
                        </w:rPr>
                        <w:t xml:space="preserve">predstavlja dio javnog duga koji se izravno podmiruje iz državnog proračuna, a čine ga obveze po sljedećim instrumentima: obveznice, trezorski zapisi, krediti i zajmovi. </w:t>
                      </w:r>
                    </w:p>
                    <w:p w14:paraId="669998C0" w14:textId="77777777" w:rsidR="006656F9" w:rsidRDefault="006656F9"/>
                  </w:txbxContent>
                </v:textbox>
              </v:shape>
            </w:pict>
          </mc:Fallback>
        </mc:AlternateContent>
      </w:r>
    </w:p>
    <w:p w14:paraId="45C726D4" w14:textId="77777777" w:rsidR="00325EAC" w:rsidRPr="002D5C87" w:rsidRDefault="00325EAC" w:rsidP="007E4ECA">
      <w:pPr>
        <w:pStyle w:val="Obicanparagraf"/>
        <w:spacing w:before="240" w:after="43" w:line="276" w:lineRule="auto"/>
        <w:rPr>
          <w:rFonts w:asciiTheme="minorHAnsi" w:hAnsiTheme="minorHAnsi"/>
          <w:b/>
          <w:szCs w:val="24"/>
        </w:rPr>
      </w:pPr>
    </w:p>
    <w:p w14:paraId="04296511" w14:textId="77777777" w:rsidR="00325EAC" w:rsidRPr="002D5C87" w:rsidRDefault="00325EAC" w:rsidP="007E4ECA">
      <w:pPr>
        <w:pStyle w:val="Obicanparagraf"/>
        <w:spacing w:before="240" w:after="43" w:line="276" w:lineRule="auto"/>
        <w:rPr>
          <w:rFonts w:asciiTheme="minorHAnsi" w:hAnsiTheme="minorHAnsi"/>
          <w:b/>
          <w:szCs w:val="24"/>
        </w:rPr>
      </w:pPr>
    </w:p>
    <w:p w14:paraId="4316ECAE" w14:textId="77777777" w:rsidR="00325EAC" w:rsidRPr="00025326" w:rsidRDefault="00325EAC" w:rsidP="007E4ECA">
      <w:pPr>
        <w:pStyle w:val="Obicanparagraf"/>
        <w:spacing w:before="240" w:after="43" w:line="276" w:lineRule="auto"/>
        <w:rPr>
          <w:rFonts w:asciiTheme="minorHAnsi" w:hAnsiTheme="minorHAnsi"/>
          <w:b/>
          <w:szCs w:val="24"/>
          <w:highlight w:val="yellow"/>
        </w:rPr>
      </w:pPr>
    </w:p>
    <w:p w14:paraId="6182AF31" w14:textId="77777777" w:rsidR="00325EAC" w:rsidRPr="00025326" w:rsidRDefault="00325EAC" w:rsidP="007E4ECA">
      <w:pPr>
        <w:pStyle w:val="Obicanparagraf"/>
        <w:spacing w:before="240" w:after="43" w:line="276" w:lineRule="auto"/>
        <w:rPr>
          <w:rFonts w:asciiTheme="minorHAnsi" w:hAnsiTheme="minorHAnsi"/>
          <w:b/>
          <w:szCs w:val="24"/>
          <w:highlight w:val="yellow"/>
        </w:rPr>
      </w:pPr>
    </w:p>
    <w:p w14:paraId="6D87DECA" w14:textId="77777777" w:rsidR="00325EAC" w:rsidRPr="00025326" w:rsidRDefault="00325EAC" w:rsidP="007E4ECA">
      <w:pPr>
        <w:pStyle w:val="Obicanparagraf"/>
        <w:spacing w:before="240" w:after="43" w:line="276" w:lineRule="auto"/>
        <w:rPr>
          <w:rFonts w:asciiTheme="minorHAnsi" w:hAnsiTheme="minorHAnsi"/>
          <w:b/>
          <w:szCs w:val="24"/>
          <w:highlight w:val="yellow"/>
        </w:rPr>
      </w:pPr>
    </w:p>
    <w:p w14:paraId="107ACC1E" w14:textId="77777777" w:rsidR="00325EAC" w:rsidRPr="00025326" w:rsidRDefault="00325EAC" w:rsidP="007E4ECA">
      <w:pPr>
        <w:pStyle w:val="Obicanparagraf"/>
        <w:spacing w:before="240" w:after="43" w:line="276" w:lineRule="auto"/>
        <w:rPr>
          <w:rFonts w:asciiTheme="minorHAnsi" w:hAnsiTheme="minorHAnsi"/>
          <w:b/>
          <w:szCs w:val="24"/>
          <w:highlight w:val="yellow"/>
        </w:rPr>
      </w:pPr>
    </w:p>
    <w:p w14:paraId="51F5618E" w14:textId="77777777" w:rsidR="00325EAC" w:rsidRPr="00025326" w:rsidRDefault="00325EAC" w:rsidP="007E4ECA">
      <w:pPr>
        <w:pStyle w:val="Obicanparagraf"/>
        <w:spacing w:before="240" w:after="43" w:line="276" w:lineRule="auto"/>
        <w:rPr>
          <w:rFonts w:asciiTheme="minorHAnsi" w:hAnsiTheme="minorHAnsi"/>
          <w:b/>
          <w:szCs w:val="24"/>
          <w:highlight w:val="yellow"/>
        </w:rPr>
      </w:pPr>
    </w:p>
    <w:p w14:paraId="4DAC6970" w14:textId="77777777" w:rsidR="002B3ABB" w:rsidRPr="00025326" w:rsidRDefault="002B3ABB" w:rsidP="0035474D">
      <w:pPr>
        <w:spacing w:line="276" w:lineRule="auto"/>
        <w:rPr>
          <w:highlight w:val="yellow"/>
          <w:lang w:val="hr-HR"/>
        </w:rPr>
      </w:pPr>
      <w:r w:rsidRPr="00025326">
        <w:rPr>
          <w:highlight w:val="yellow"/>
          <w:lang w:val="hr-HR"/>
        </w:rPr>
        <w:br w:type="page"/>
      </w:r>
    </w:p>
    <w:p w14:paraId="6A55DA42" w14:textId="77777777" w:rsidR="008269EF" w:rsidRPr="00C728CC" w:rsidRDefault="008269EF" w:rsidP="0035474D">
      <w:pPr>
        <w:pStyle w:val="Heading1"/>
        <w:numPr>
          <w:ilvl w:val="0"/>
          <w:numId w:val="1"/>
        </w:numPr>
        <w:spacing w:line="276" w:lineRule="auto"/>
        <w:rPr>
          <w:lang w:val="hr-HR"/>
        </w:rPr>
      </w:pPr>
      <w:bookmarkStart w:id="3" w:name="_Toc10032421"/>
      <w:r w:rsidRPr="00C728CC">
        <w:rPr>
          <w:lang w:val="hr-HR"/>
        </w:rPr>
        <w:lastRenderedPageBreak/>
        <w:t>STANJE JAVNOG DUGA I STANJE JAMSTAVA</w:t>
      </w:r>
      <w:bookmarkEnd w:id="3"/>
    </w:p>
    <w:p w14:paraId="7AA2F761" w14:textId="77777777" w:rsidR="008269EF" w:rsidRPr="00C728CC" w:rsidRDefault="008269EF" w:rsidP="00822107">
      <w:pPr>
        <w:spacing w:before="240" w:line="276" w:lineRule="auto"/>
        <w:rPr>
          <w:lang w:val="hr-HR"/>
        </w:rPr>
      </w:pPr>
    </w:p>
    <w:p w14:paraId="58F94989" w14:textId="77777777" w:rsidR="000C607E" w:rsidRDefault="00DD341C" w:rsidP="00DD341C">
      <w:pPr>
        <w:spacing w:before="240" w:line="276" w:lineRule="auto"/>
        <w:jc w:val="both"/>
        <w:rPr>
          <w:sz w:val="24"/>
          <w:szCs w:val="24"/>
          <w:lang w:val="hr-HR"/>
        </w:rPr>
      </w:pPr>
      <w:r w:rsidRPr="00C728CC">
        <w:rPr>
          <w:sz w:val="24"/>
          <w:szCs w:val="24"/>
          <w:lang w:val="hr-HR"/>
        </w:rPr>
        <w:t xml:space="preserve">Prema Izvješću o prekomjernom proračunskom manjku i razini </w:t>
      </w:r>
      <w:r w:rsidRPr="00E74F0E">
        <w:rPr>
          <w:sz w:val="24"/>
          <w:szCs w:val="24"/>
          <w:lang w:val="hr-HR"/>
        </w:rPr>
        <w:t xml:space="preserve">duga opće države </w:t>
      </w:r>
      <w:r w:rsidR="00C728CC" w:rsidRPr="00E74F0E">
        <w:rPr>
          <w:sz w:val="24"/>
          <w:szCs w:val="24"/>
          <w:lang w:val="hr-HR"/>
        </w:rPr>
        <w:t>iz travnja 2019.</w:t>
      </w:r>
      <w:r w:rsidRPr="00E74F0E">
        <w:rPr>
          <w:sz w:val="24"/>
          <w:szCs w:val="24"/>
          <w:lang w:val="hr-HR"/>
        </w:rPr>
        <w:t>, a kojeg objavljuje Državni zavod za statistiku</w:t>
      </w:r>
      <w:r w:rsidR="00DE02A5" w:rsidRPr="00E74F0E">
        <w:rPr>
          <w:sz w:val="24"/>
          <w:szCs w:val="24"/>
          <w:lang w:val="hr-HR"/>
        </w:rPr>
        <w:t xml:space="preserve"> (u daljnjem tekstu: DZS)</w:t>
      </w:r>
      <w:r w:rsidRPr="00E74F0E">
        <w:rPr>
          <w:sz w:val="24"/>
          <w:szCs w:val="24"/>
          <w:lang w:val="hr-HR"/>
        </w:rPr>
        <w:t xml:space="preserve">, javni dug je krajem </w:t>
      </w:r>
      <w:r w:rsidR="00E74F0E" w:rsidRPr="00E74F0E">
        <w:rPr>
          <w:sz w:val="24"/>
          <w:szCs w:val="24"/>
          <w:lang w:val="hr-HR"/>
        </w:rPr>
        <w:t xml:space="preserve">2018. godine iznosio 284,7 milijardi kuna, odnosno 74,6% BDP-a. </w:t>
      </w:r>
      <w:r w:rsidR="000C607E" w:rsidRPr="000C607E">
        <w:rPr>
          <w:sz w:val="24"/>
          <w:szCs w:val="24"/>
          <w:lang w:val="hr-HR"/>
        </w:rPr>
        <w:t>Pritom se udio javnog duga, u odnosu na prethodnu godinu, smanjio za 3,2 postotna boda, dok je u protekle tri godine smanjen za više od 9 postotnih bodova. Odgovorno vođenje fiskalne politike, praćeno aktivnom politikom upravljanja javnim dugom, rezultiralo je i smanjenjem rashoda za kamate koji su u 2018. godini na međugodišnjoj razin</w:t>
      </w:r>
      <w:r w:rsidR="000C607E">
        <w:rPr>
          <w:sz w:val="24"/>
          <w:szCs w:val="24"/>
          <w:lang w:val="hr-HR"/>
        </w:rPr>
        <w:t xml:space="preserve">i smanjeni za 900 milijuna kuna dok su u odnosu na kraj </w:t>
      </w:r>
      <w:r w:rsidR="000C607E" w:rsidRPr="000C607E">
        <w:rPr>
          <w:sz w:val="24"/>
          <w:szCs w:val="24"/>
          <w:lang w:val="hr-HR"/>
        </w:rPr>
        <w:t xml:space="preserve">2015. smanjeni za gotovo 3 milijarde kuna. </w:t>
      </w:r>
    </w:p>
    <w:p w14:paraId="6E86EC00" w14:textId="77777777" w:rsidR="00772122" w:rsidRDefault="000C607E" w:rsidP="002F293E">
      <w:pPr>
        <w:spacing w:before="240" w:line="276" w:lineRule="auto"/>
        <w:jc w:val="both"/>
        <w:rPr>
          <w:sz w:val="24"/>
          <w:szCs w:val="24"/>
          <w:lang w:val="hr-HR"/>
        </w:rPr>
      </w:pPr>
      <w:r w:rsidRPr="002F293E">
        <w:rPr>
          <w:sz w:val="24"/>
          <w:szCs w:val="24"/>
          <w:lang w:val="hr-HR"/>
        </w:rPr>
        <w:t xml:space="preserve">Na </w:t>
      </w:r>
      <w:r w:rsidR="002F293E" w:rsidRPr="002F293E">
        <w:rPr>
          <w:sz w:val="24"/>
          <w:szCs w:val="24"/>
          <w:lang w:val="hr-HR"/>
        </w:rPr>
        <w:t xml:space="preserve">kretanje javnog duga u </w:t>
      </w:r>
      <w:r w:rsidR="0007582E">
        <w:rPr>
          <w:sz w:val="24"/>
          <w:szCs w:val="24"/>
          <w:lang w:val="hr-HR"/>
        </w:rPr>
        <w:t xml:space="preserve">2018. </w:t>
      </w:r>
      <w:r w:rsidR="002F293E">
        <w:rPr>
          <w:sz w:val="24"/>
          <w:szCs w:val="24"/>
          <w:lang w:val="hr-HR"/>
        </w:rPr>
        <w:t xml:space="preserve">godini utjecalo je nekoliko ključnih čimbenika. Naime, </w:t>
      </w:r>
      <w:r w:rsidR="00A53A61">
        <w:rPr>
          <w:sz w:val="24"/>
          <w:szCs w:val="24"/>
          <w:lang w:val="hr-HR"/>
        </w:rPr>
        <w:t>ostvareni</w:t>
      </w:r>
      <w:r w:rsidR="002F293E">
        <w:rPr>
          <w:sz w:val="24"/>
          <w:szCs w:val="24"/>
          <w:lang w:val="hr-HR"/>
        </w:rPr>
        <w:t xml:space="preserve"> </w:t>
      </w:r>
      <w:r w:rsidR="00A53A61">
        <w:rPr>
          <w:sz w:val="24"/>
          <w:szCs w:val="24"/>
          <w:lang w:val="hr-HR"/>
        </w:rPr>
        <w:t>proračunski višak</w:t>
      </w:r>
      <w:r w:rsidR="002F293E" w:rsidRPr="002F293E">
        <w:rPr>
          <w:sz w:val="24"/>
          <w:szCs w:val="24"/>
          <w:lang w:val="hr-HR"/>
        </w:rPr>
        <w:t xml:space="preserve"> u iznosu od 758 milijuna kuna ili 0,2% BDP-a</w:t>
      </w:r>
      <w:r w:rsidR="00A53A61">
        <w:rPr>
          <w:sz w:val="24"/>
          <w:szCs w:val="24"/>
          <w:lang w:val="hr-HR"/>
        </w:rPr>
        <w:t>, koji uključuje i materijalizaciju jednokratnih obveza po osnovi protestiranih jamstava za Uljanik grupu, značio je i manju potrebu države za zaduživanjem</w:t>
      </w:r>
      <w:r w:rsidR="002F293E" w:rsidRPr="002F293E">
        <w:rPr>
          <w:sz w:val="24"/>
          <w:szCs w:val="24"/>
          <w:lang w:val="hr-HR"/>
        </w:rPr>
        <w:t xml:space="preserve">. Pored toga, u okruženju visoke razine likvidnosti i niskih kamatnih stopa poboljšani su i uvjeti zaduživanja na domaćem i međunarodnom financijskom tržištu, što je utjecalo na daljnje smanjenje rashoda za kamate i ostvarivanje primarnog fiskalnog viška od 2,5% BDP-a. Pozitivan doprinos smanjenju udjela </w:t>
      </w:r>
      <w:r w:rsidR="00A53A61">
        <w:rPr>
          <w:sz w:val="24"/>
          <w:szCs w:val="24"/>
          <w:lang w:val="hr-HR"/>
        </w:rPr>
        <w:t xml:space="preserve">javnog </w:t>
      </w:r>
      <w:r w:rsidR="002F293E" w:rsidRPr="002F293E">
        <w:rPr>
          <w:sz w:val="24"/>
          <w:szCs w:val="24"/>
          <w:lang w:val="hr-HR"/>
        </w:rPr>
        <w:t xml:space="preserve">duga u BDP-u u 2018. godini došao je i od blage aprecijacije kune u odnosu na euro (za 1,3% na godišnjoj razini). Domaća komponenta javnog duga povećana je za 4,3% u odnosu na 2017. godinu i iznosi 180,3 milijarde kuna, čineći udio od 63,3% u ukupnom javnom dugu, dok inozemna komponenta bilježi smanjenje od 6,3% i iznosi 104,4 milijarde kuna, odnosno 36,7% ukupnog javnog duga. </w:t>
      </w:r>
    </w:p>
    <w:p w14:paraId="4918B708" w14:textId="77777777" w:rsidR="002F293E" w:rsidRPr="002F293E" w:rsidRDefault="00772122" w:rsidP="002F293E">
      <w:pPr>
        <w:spacing w:before="240" w:line="276" w:lineRule="auto"/>
        <w:jc w:val="both"/>
        <w:rPr>
          <w:sz w:val="24"/>
          <w:szCs w:val="24"/>
          <w:lang w:val="hr-HR"/>
        </w:rPr>
      </w:pPr>
      <w:r>
        <w:rPr>
          <w:sz w:val="24"/>
          <w:szCs w:val="24"/>
          <w:lang w:val="hr-HR"/>
        </w:rPr>
        <w:t xml:space="preserve">Prema </w:t>
      </w:r>
      <w:r w:rsidR="002F293E" w:rsidRPr="002F293E">
        <w:rPr>
          <w:sz w:val="24"/>
          <w:szCs w:val="24"/>
          <w:lang w:val="hr-HR"/>
        </w:rPr>
        <w:t xml:space="preserve">pravilima metodologije ESA 2010, cjelokupan jamčeni dug Uljanik grupe od 4,4 milijarde kuna reklasificiran </w:t>
      </w:r>
      <w:r>
        <w:rPr>
          <w:sz w:val="24"/>
          <w:szCs w:val="24"/>
          <w:lang w:val="hr-HR"/>
        </w:rPr>
        <w:t xml:space="preserve">je </w:t>
      </w:r>
      <w:r w:rsidR="002F293E" w:rsidRPr="002F293E">
        <w:rPr>
          <w:sz w:val="24"/>
          <w:szCs w:val="24"/>
          <w:lang w:val="hr-HR"/>
        </w:rPr>
        <w:t>u javni dug u 2018. godini. Uz to, povijesna serija kretanja javnog duga revidirana je</w:t>
      </w:r>
      <w:r>
        <w:rPr>
          <w:sz w:val="24"/>
          <w:szCs w:val="24"/>
          <w:lang w:val="hr-HR"/>
        </w:rPr>
        <w:t xml:space="preserve"> i</w:t>
      </w:r>
      <w:r w:rsidR="002F293E" w:rsidRPr="002F293E">
        <w:rPr>
          <w:sz w:val="24"/>
          <w:szCs w:val="24"/>
          <w:lang w:val="hr-HR"/>
        </w:rPr>
        <w:t xml:space="preserve"> uslijed daljnjeg usklađivanja sektorizacije institucionalnih jedinica s metodologijom ESA 2010 te je revizijom u obuhvat opće države uključen velik broj novih jedinica s utjecajem na povećanje razine javnog duga od gotovo 1 milijarde kuna. Pritom se najveći dio uključenih jedinica odnosi na turističke zajednice i razvojne agencije, dok Lučka uprava Zadar s dugom od 797,8 milijuna kuna najviše pridonosi ovom povećanju.</w:t>
      </w:r>
    </w:p>
    <w:p w14:paraId="543291A3" w14:textId="166F572B" w:rsidR="002F293E" w:rsidRPr="002F293E" w:rsidRDefault="002F293E" w:rsidP="002F293E">
      <w:pPr>
        <w:spacing w:before="240" w:line="276" w:lineRule="auto"/>
        <w:jc w:val="both"/>
        <w:rPr>
          <w:sz w:val="24"/>
          <w:szCs w:val="24"/>
          <w:lang w:val="hr-HR"/>
        </w:rPr>
      </w:pPr>
      <w:r w:rsidRPr="002F293E">
        <w:rPr>
          <w:sz w:val="24"/>
          <w:szCs w:val="24"/>
          <w:lang w:val="hr-HR"/>
        </w:rPr>
        <w:t>Promatrano prema razinama državne vlasti, glavnina javnog duga odnosi se na sektor sr</w:t>
      </w:r>
      <w:r w:rsidR="00E86B0D">
        <w:rPr>
          <w:sz w:val="24"/>
          <w:szCs w:val="24"/>
          <w:lang w:val="hr-HR"/>
        </w:rPr>
        <w:t xml:space="preserve">edišnje države u iznosu </w:t>
      </w:r>
      <w:r w:rsidR="00E86B0D" w:rsidRPr="00E86B0D">
        <w:rPr>
          <w:sz w:val="24"/>
          <w:szCs w:val="24"/>
          <w:lang w:val="hr-HR"/>
        </w:rPr>
        <w:t>od 279,3</w:t>
      </w:r>
      <w:r w:rsidRPr="00E86B0D">
        <w:rPr>
          <w:sz w:val="24"/>
          <w:szCs w:val="24"/>
          <w:lang w:val="hr-HR"/>
        </w:rPr>
        <w:t xml:space="preserve"> milijard</w:t>
      </w:r>
      <w:r w:rsidR="00E86B0D">
        <w:rPr>
          <w:sz w:val="24"/>
          <w:szCs w:val="24"/>
          <w:lang w:val="hr-HR"/>
        </w:rPr>
        <w:t>e</w:t>
      </w:r>
      <w:r w:rsidRPr="002F293E">
        <w:rPr>
          <w:sz w:val="24"/>
          <w:szCs w:val="24"/>
          <w:lang w:val="hr-HR"/>
        </w:rPr>
        <w:t xml:space="preserve"> kuna, dok se ostatak duga od 5,4 milijarde kuna odnosi na sektor lokalne države, a 1,1 milijun kuna na dug fondova socijalne sigurnosti.</w:t>
      </w:r>
      <w:r w:rsidR="00E86B0D">
        <w:rPr>
          <w:sz w:val="24"/>
          <w:szCs w:val="24"/>
          <w:lang w:val="hr-HR"/>
        </w:rPr>
        <w:t xml:space="preserve"> U dug sektora središnje države osim duga korisnika državnog proračuna ulazi i dug izvanproračunskih korisnika</w:t>
      </w:r>
      <w:r w:rsidR="002E3F8C">
        <w:rPr>
          <w:sz w:val="24"/>
          <w:szCs w:val="24"/>
          <w:lang w:val="hr-HR"/>
        </w:rPr>
        <w:t xml:space="preserve"> državnog proračuna</w:t>
      </w:r>
      <w:r w:rsidR="00E86B0D">
        <w:rPr>
          <w:sz w:val="24"/>
          <w:szCs w:val="24"/>
          <w:lang w:val="hr-HR"/>
        </w:rPr>
        <w:t xml:space="preserve"> u iznosu od 5,6 milijardi </w:t>
      </w:r>
      <w:r w:rsidR="00F36F36">
        <w:rPr>
          <w:sz w:val="24"/>
          <w:szCs w:val="24"/>
          <w:lang w:val="hr-HR"/>
        </w:rPr>
        <w:t xml:space="preserve">kuna, dug trgovačkih društava koji ulaze u sektor središnje države i HBOR-a u iznosu od </w:t>
      </w:r>
      <w:r w:rsidR="00127667">
        <w:rPr>
          <w:sz w:val="24"/>
          <w:szCs w:val="24"/>
          <w:lang w:val="hr-HR"/>
        </w:rPr>
        <w:t>39,1 milijardu kuna, dug javno</w:t>
      </w:r>
      <w:r w:rsidR="0018196A">
        <w:rPr>
          <w:sz w:val="24"/>
          <w:szCs w:val="24"/>
          <w:lang w:val="hr-HR"/>
        </w:rPr>
        <w:t>-</w:t>
      </w:r>
      <w:r w:rsidR="00127667">
        <w:rPr>
          <w:sz w:val="24"/>
          <w:szCs w:val="24"/>
          <w:lang w:val="hr-HR"/>
        </w:rPr>
        <w:t xml:space="preserve">privatnih partnerstva i koncesija u iznosu od 6,2 milijarde kuna kao i dug </w:t>
      </w:r>
      <w:r w:rsidR="00127667" w:rsidRPr="00DF23F9">
        <w:rPr>
          <w:sz w:val="24"/>
          <w:szCs w:val="24"/>
          <w:lang w:val="hr-HR"/>
        </w:rPr>
        <w:t>FNOI</w:t>
      </w:r>
      <w:r w:rsidR="00127667">
        <w:rPr>
          <w:sz w:val="24"/>
          <w:szCs w:val="24"/>
          <w:lang w:val="hr-HR"/>
        </w:rPr>
        <w:t>-a u iznosu od 88 milijuna kuna.</w:t>
      </w:r>
      <w:r w:rsidR="00E4394A">
        <w:rPr>
          <w:sz w:val="24"/>
          <w:szCs w:val="24"/>
          <w:lang w:val="hr-HR"/>
        </w:rPr>
        <w:t xml:space="preserve"> Na dug cestovnog sektora odnosi se 26,5 milijardi kuna, što je 2,3 milijarde kuna manje u odnosu na 2017. odnosno 13,5 milijardi kuna u odnosu na </w:t>
      </w:r>
      <w:r w:rsidR="00E4394A">
        <w:rPr>
          <w:sz w:val="24"/>
          <w:szCs w:val="24"/>
          <w:lang w:val="hr-HR"/>
        </w:rPr>
        <w:lastRenderedPageBreak/>
        <w:t xml:space="preserve">2016. godinu. Razlog tome jest provedeno financijsko restrukturiranje cestovnih društava u državnom vlasništvu </w:t>
      </w:r>
      <w:r w:rsidR="002E3F8C">
        <w:rPr>
          <w:sz w:val="24"/>
          <w:szCs w:val="24"/>
          <w:lang w:val="hr-HR"/>
        </w:rPr>
        <w:t>u studenom</w:t>
      </w:r>
      <w:r w:rsidR="009C3C5E" w:rsidRPr="002E3F8C">
        <w:rPr>
          <w:sz w:val="24"/>
          <w:szCs w:val="24"/>
          <w:lang w:val="hr-HR"/>
        </w:rPr>
        <w:t xml:space="preserve"> 2017. i </w:t>
      </w:r>
      <w:r w:rsidR="002E3F8C">
        <w:rPr>
          <w:sz w:val="24"/>
          <w:szCs w:val="24"/>
          <w:lang w:val="hr-HR"/>
        </w:rPr>
        <w:t xml:space="preserve">ožujku </w:t>
      </w:r>
      <w:r w:rsidR="009C3C5E" w:rsidRPr="002E3F8C">
        <w:rPr>
          <w:sz w:val="24"/>
          <w:szCs w:val="24"/>
          <w:lang w:val="hr-HR"/>
        </w:rPr>
        <w:t>2018. godine</w:t>
      </w:r>
      <w:r w:rsidR="002E3F8C">
        <w:rPr>
          <w:sz w:val="24"/>
          <w:szCs w:val="24"/>
          <w:lang w:val="hr-HR"/>
        </w:rPr>
        <w:t>, kojima su produljeni rokovi otplat</w:t>
      </w:r>
      <w:r w:rsidR="00E82346">
        <w:rPr>
          <w:sz w:val="24"/>
          <w:szCs w:val="24"/>
          <w:lang w:val="hr-HR"/>
        </w:rPr>
        <w:t>a</w:t>
      </w:r>
      <w:r w:rsidR="002E3F8C">
        <w:rPr>
          <w:sz w:val="24"/>
          <w:szCs w:val="24"/>
          <w:lang w:val="hr-HR"/>
        </w:rPr>
        <w:t xml:space="preserve"> i smanj</w:t>
      </w:r>
      <w:r w:rsidR="00E82346">
        <w:rPr>
          <w:sz w:val="24"/>
          <w:szCs w:val="24"/>
          <w:lang w:val="hr-HR"/>
        </w:rPr>
        <w:t xml:space="preserve">ene kamatne stope ovih društava, čime se </w:t>
      </w:r>
      <w:r w:rsidR="002E3F8C">
        <w:rPr>
          <w:sz w:val="24"/>
          <w:szCs w:val="24"/>
          <w:lang w:val="hr-HR"/>
        </w:rPr>
        <w:t>postigla održivost njihova poslovanja</w:t>
      </w:r>
      <w:r w:rsidR="009C3C5E" w:rsidRPr="002E3F8C">
        <w:rPr>
          <w:sz w:val="24"/>
          <w:szCs w:val="24"/>
          <w:lang w:val="hr-HR"/>
        </w:rPr>
        <w:t>.</w:t>
      </w:r>
    </w:p>
    <w:p w14:paraId="3309EAFD" w14:textId="486FBD07" w:rsidR="002F293E" w:rsidRPr="002F293E" w:rsidRDefault="002F293E" w:rsidP="002F293E">
      <w:pPr>
        <w:spacing w:before="240" w:line="276" w:lineRule="auto"/>
        <w:jc w:val="both"/>
        <w:rPr>
          <w:sz w:val="24"/>
          <w:szCs w:val="24"/>
          <w:lang w:val="hr-HR"/>
        </w:rPr>
      </w:pPr>
      <w:r w:rsidRPr="002F293E">
        <w:rPr>
          <w:sz w:val="24"/>
          <w:szCs w:val="24"/>
          <w:lang w:val="hr-HR"/>
        </w:rPr>
        <w:t>Gledajući prema instrumentima zaduživanja, najveći dio javnog duga nastao je zaduživanjem putem dugoročnih vrijednosnih papira, odnosno obveznica (64,6%), zatim zaduživanjem putem kredita (31,2%) te kratkoročnih vrijednosnih papira (4,2%).</w:t>
      </w:r>
    </w:p>
    <w:p w14:paraId="1E88BE69" w14:textId="77777777" w:rsidR="002F293E" w:rsidRPr="002F293E" w:rsidRDefault="002F293E" w:rsidP="002F293E">
      <w:pPr>
        <w:spacing w:before="240" w:line="276" w:lineRule="auto"/>
        <w:jc w:val="both"/>
        <w:rPr>
          <w:sz w:val="24"/>
          <w:szCs w:val="24"/>
          <w:lang w:val="hr-HR"/>
        </w:rPr>
      </w:pPr>
      <w:r w:rsidRPr="002F293E">
        <w:rPr>
          <w:sz w:val="24"/>
          <w:szCs w:val="24"/>
          <w:lang w:val="hr-HR"/>
        </w:rPr>
        <w:t xml:space="preserve">Valutna struktura javnog duga pokazuje kako je značajan dio duga denominiran u stranoj valuti pri čemu se na dug </w:t>
      </w:r>
      <w:r w:rsidR="007F064C">
        <w:rPr>
          <w:sz w:val="24"/>
          <w:szCs w:val="24"/>
          <w:lang w:val="hr-HR"/>
        </w:rPr>
        <w:t>denominiran u eurima odnosi 71,3</w:t>
      </w:r>
      <w:r w:rsidRPr="002F293E">
        <w:rPr>
          <w:sz w:val="24"/>
          <w:szCs w:val="24"/>
          <w:lang w:val="hr-HR"/>
        </w:rPr>
        <w:t>%, na dug denominiran u kunama 2</w:t>
      </w:r>
      <w:r w:rsidR="007F064C">
        <w:rPr>
          <w:sz w:val="24"/>
          <w:szCs w:val="24"/>
          <w:lang w:val="hr-HR"/>
        </w:rPr>
        <w:t>4,9</w:t>
      </w:r>
      <w:r w:rsidRPr="002F293E">
        <w:rPr>
          <w:sz w:val="24"/>
          <w:szCs w:val="24"/>
          <w:lang w:val="hr-HR"/>
        </w:rPr>
        <w:t>%, a na dug denominiran u dolarima 3,</w:t>
      </w:r>
      <w:r w:rsidR="007F064C">
        <w:rPr>
          <w:sz w:val="24"/>
          <w:szCs w:val="24"/>
          <w:lang w:val="hr-HR"/>
        </w:rPr>
        <w:t>8</w:t>
      </w:r>
      <w:r w:rsidRPr="002F293E">
        <w:rPr>
          <w:sz w:val="24"/>
          <w:szCs w:val="24"/>
          <w:lang w:val="hr-HR"/>
        </w:rPr>
        <w:t>% ukupnog duga. Neznatan dio duga (0,03%) denominiran je u švicarskim francima. Udio duga koji je denominiran u eurima u 2018. se smanjio za 1,</w:t>
      </w:r>
      <w:r w:rsidR="007F064C">
        <w:rPr>
          <w:sz w:val="24"/>
          <w:szCs w:val="24"/>
          <w:lang w:val="hr-HR"/>
        </w:rPr>
        <w:t>5</w:t>
      </w:r>
      <w:r w:rsidRPr="002F293E">
        <w:rPr>
          <w:sz w:val="24"/>
          <w:szCs w:val="24"/>
          <w:lang w:val="hr-HR"/>
        </w:rPr>
        <w:t xml:space="preserve"> postotnih bodova u odnosu na 2017. godinu kao rezultat orijentacije na zaduživanje na domaćem tržištu. </w:t>
      </w:r>
    </w:p>
    <w:p w14:paraId="7EFD7518" w14:textId="77777777" w:rsidR="002F293E" w:rsidRDefault="002F293E" w:rsidP="002F293E">
      <w:pPr>
        <w:spacing w:before="240" w:line="276" w:lineRule="auto"/>
        <w:jc w:val="both"/>
        <w:rPr>
          <w:sz w:val="24"/>
          <w:szCs w:val="24"/>
          <w:lang w:val="hr-HR"/>
        </w:rPr>
      </w:pPr>
      <w:r w:rsidRPr="002F293E">
        <w:rPr>
          <w:sz w:val="24"/>
          <w:szCs w:val="24"/>
          <w:lang w:val="hr-HR"/>
        </w:rPr>
        <w:t xml:space="preserve">Struktura javnog duga po ročnosti pokazuje da je na kraju 2018. godine udio javnog duga s rokom dospijeća do 1 godine u ukupnom dugu iznosio 4,6%. Udio javnog duga s rokom dospijeća od 1 do 5 godina bio je </w:t>
      </w:r>
      <w:r w:rsidR="007F064C">
        <w:rPr>
          <w:sz w:val="24"/>
          <w:szCs w:val="24"/>
          <w:lang w:val="hr-HR"/>
        </w:rPr>
        <w:t>9</w:t>
      </w:r>
      <w:r w:rsidRPr="002F293E">
        <w:rPr>
          <w:sz w:val="24"/>
          <w:szCs w:val="24"/>
          <w:lang w:val="hr-HR"/>
        </w:rPr>
        <w:t>%, dok je udio duga s rokom dospijeća od 5 do 10 godina iznosio 37,</w:t>
      </w:r>
      <w:r w:rsidR="007F064C">
        <w:rPr>
          <w:sz w:val="24"/>
          <w:szCs w:val="24"/>
          <w:lang w:val="hr-HR"/>
        </w:rPr>
        <w:t>5</w:t>
      </w:r>
      <w:r w:rsidRPr="002F293E">
        <w:rPr>
          <w:sz w:val="24"/>
          <w:szCs w:val="24"/>
          <w:lang w:val="hr-HR"/>
        </w:rPr>
        <w:t xml:space="preserve">%. Na dug s rokom dospijeća iznad 10 godina odnosi se </w:t>
      </w:r>
      <w:r w:rsidR="007F064C">
        <w:rPr>
          <w:sz w:val="24"/>
          <w:szCs w:val="24"/>
          <w:lang w:val="hr-HR"/>
        </w:rPr>
        <w:t>48,9</w:t>
      </w:r>
      <w:r w:rsidRPr="002F293E">
        <w:rPr>
          <w:sz w:val="24"/>
          <w:szCs w:val="24"/>
          <w:lang w:val="hr-HR"/>
        </w:rPr>
        <w:t>% ukupnog javnog duga.</w:t>
      </w:r>
    </w:p>
    <w:p w14:paraId="5C820756" w14:textId="77777777" w:rsidR="00112363" w:rsidRPr="00025326" w:rsidRDefault="00112363" w:rsidP="00DD341C">
      <w:pPr>
        <w:spacing w:before="240" w:line="276" w:lineRule="auto"/>
        <w:jc w:val="both"/>
        <w:rPr>
          <w:sz w:val="24"/>
          <w:szCs w:val="24"/>
          <w:highlight w:val="yellow"/>
          <w:lang w:val="hr-HR"/>
        </w:rPr>
      </w:pPr>
      <w:r w:rsidRPr="00025326">
        <w:rPr>
          <w:sz w:val="24"/>
          <w:szCs w:val="24"/>
          <w:highlight w:val="yellow"/>
          <w:lang w:val="hr-HR"/>
        </w:rPr>
        <w:br w:type="page"/>
      </w:r>
    </w:p>
    <w:p w14:paraId="0360648F" w14:textId="77777777" w:rsidR="008269EF" w:rsidRPr="00541CF6" w:rsidRDefault="008269EF" w:rsidP="0035474D">
      <w:pPr>
        <w:pStyle w:val="Caption"/>
        <w:spacing w:before="240" w:line="276" w:lineRule="auto"/>
        <w:rPr>
          <w:i/>
          <w:sz w:val="24"/>
          <w:lang w:val="hr-HR"/>
        </w:rPr>
      </w:pPr>
      <w:bookmarkStart w:id="4" w:name="_Toc10032445"/>
      <w:r w:rsidRPr="00541CF6">
        <w:rPr>
          <w:i/>
          <w:sz w:val="24"/>
          <w:lang w:val="hr-HR"/>
        </w:rPr>
        <w:lastRenderedPageBreak/>
        <w:t xml:space="preserve">Tablica </w:t>
      </w:r>
      <w:r w:rsidRPr="00541CF6">
        <w:rPr>
          <w:i/>
          <w:sz w:val="24"/>
          <w:lang w:val="hr-HR"/>
        </w:rPr>
        <w:fldChar w:fldCharType="begin"/>
      </w:r>
      <w:r w:rsidRPr="00541CF6">
        <w:rPr>
          <w:i/>
          <w:sz w:val="24"/>
          <w:lang w:val="hr-HR"/>
        </w:rPr>
        <w:instrText xml:space="preserve"> SEQ Tablica \* ARABIC </w:instrText>
      </w:r>
      <w:r w:rsidRPr="00541CF6">
        <w:rPr>
          <w:i/>
          <w:sz w:val="24"/>
          <w:lang w:val="hr-HR"/>
        </w:rPr>
        <w:fldChar w:fldCharType="separate"/>
      </w:r>
      <w:r w:rsidR="00CE0BC8">
        <w:rPr>
          <w:i/>
          <w:noProof/>
          <w:sz w:val="24"/>
          <w:lang w:val="hr-HR"/>
        </w:rPr>
        <w:t>1</w:t>
      </w:r>
      <w:r w:rsidRPr="00541CF6">
        <w:rPr>
          <w:i/>
          <w:sz w:val="24"/>
          <w:lang w:val="hr-HR"/>
        </w:rPr>
        <w:fldChar w:fldCharType="end"/>
      </w:r>
      <w:r w:rsidR="00B81382" w:rsidRPr="00541CF6">
        <w:rPr>
          <w:i/>
          <w:sz w:val="24"/>
          <w:lang w:val="hr-HR"/>
        </w:rPr>
        <w:t>:</w:t>
      </w:r>
      <w:r w:rsidRPr="00541CF6">
        <w:rPr>
          <w:i/>
          <w:sz w:val="24"/>
          <w:lang w:val="hr-HR"/>
        </w:rPr>
        <w:t xml:space="preserve"> Struktura javnog duga u razdoblju 201</w:t>
      </w:r>
      <w:r w:rsidR="00541CF6">
        <w:rPr>
          <w:i/>
          <w:sz w:val="24"/>
          <w:lang w:val="hr-HR"/>
        </w:rPr>
        <w:t>4</w:t>
      </w:r>
      <w:r w:rsidRPr="00541CF6">
        <w:rPr>
          <w:i/>
          <w:sz w:val="24"/>
          <w:lang w:val="hr-HR"/>
        </w:rPr>
        <w:t>. - 201</w:t>
      </w:r>
      <w:r w:rsidR="00541CF6">
        <w:rPr>
          <w:i/>
          <w:sz w:val="24"/>
          <w:lang w:val="hr-HR"/>
        </w:rPr>
        <w:t>8</w:t>
      </w:r>
      <w:r w:rsidRPr="00541CF6">
        <w:rPr>
          <w:i/>
          <w:sz w:val="24"/>
          <w:lang w:val="hr-HR"/>
        </w:rPr>
        <w:t>.</w:t>
      </w:r>
      <w:bookmarkEnd w:id="4"/>
    </w:p>
    <w:p w14:paraId="23FE6E29" w14:textId="77777777" w:rsidR="004F7CAB" w:rsidRPr="00025326" w:rsidRDefault="00D40B31" w:rsidP="0035474D">
      <w:pPr>
        <w:spacing w:line="276" w:lineRule="auto"/>
        <w:rPr>
          <w:sz w:val="20"/>
          <w:szCs w:val="20"/>
          <w:highlight w:val="yellow"/>
          <w:lang w:val="hr-HR"/>
        </w:rPr>
      </w:pPr>
      <w:r w:rsidRPr="00D40B31">
        <w:rPr>
          <w:noProof/>
          <w:lang w:val="hr-HR" w:eastAsia="hr-HR"/>
        </w:rPr>
        <w:drawing>
          <wp:inline distT="0" distB="0" distL="0" distR="0" wp14:anchorId="02F6AFDF" wp14:editId="4CC5A580">
            <wp:extent cx="5759450" cy="7078383"/>
            <wp:effectExtent l="0" t="0" r="0" b="825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078383"/>
                    </a:xfrm>
                    <a:prstGeom prst="rect">
                      <a:avLst/>
                    </a:prstGeom>
                    <a:noFill/>
                    <a:ln>
                      <a:noFill/>
                    </a:ln>
                  </pic:spPr>
                </pic:pic>
              </a:graphicData>
            </a:graphic>
          </wp:inline>
        </w:drawing>
      </w:r>
    </w:p>
    <w:p w14:paraId="72D4D4D0" w14:textId="77777777" w:rsidR="008269EF" w:rsidRPr="00E2585D" w:rsidRDefault="008269EF" w:rsidP="0035474D">
      <w:pPr>
        <w:spacing w:line="276" w:lineRule="auto"/>
        <w:rPr>
          <w:i/>
          <w:sz w:val="20"/>
          <w:szCs w:val="20"/>
          <w:lang w:val="hr-HR"/>
        </w:rPr>
      </w:pPr>
      <w:r w:rsidRPr="00E2585D">
        <w:rPr>
          <w:i/>
          <w:sz w:val="20"/>
          <w:szCs w:val="20"/>
          <w:lang w:val="hr-HR"/>
        </w:rPr>
        <w:t>Izvor: HNB</w:t>
      </w:r>
    </w:p>
    <w:p w14:paraId="69F5190F" w14:textId="77777777" w:rsidR="002B4506" w:rsidRPr="00E2585D" w:rsidRDefault="002B4506" w:rsidP="0035474D">
      <w:pPr>
        <w:spacing w:line="276" w:lineRule="auto"/>
        <w:rPr>
          <w:sz w:val="20"/>
          <w:szCs w:val="20"/>
          <w:lang w:val="hr-HR"/>
        </w:rPr>
      </w:pPr>
      <w:r w:rsidRPr="00E2585D">
        <w:rPr>
          <w:sz w:val="20"/>
          <w:szCs w:val="20"/>
          <w:lang w:val="hr-HR"/>
        </w:rPr>
        <w:t>*1. Unutarnji dug opće države = (1.1 + 1.2 + 1.3 - konsolidacijski elementi)</w:t>
      </w:r>
    </w:p>
    <w:p w14:paraId="7ACF4B0F" w14:textId="77777777" w:rsidR="00112363" w:rsidRPr="00E2585D" w:rsidRDefault="00112363" w:rsidP="0035474D">
      <w:pPr>
        <w:spacing w:line="276" w:lineRule="auto"/>
        <w:rPr>
          <w:sz w:val="20"/>
          <w:szCs w:val="20"/>
          <w:lang w:val="hr-HR"/>
        </w:rPr>
      </w:pPr>
    </w:p>
    <w:p w14:paraId="7D7F6CE4" w14:textId="77777777" w:rsidR="00B3314F" w:rsidRPr="00025326" w:rsidRDefault="00B3314F" w:rsidP="0035474D">
      <w:pPr>
        <w:spacing w:line="276" w:lineRule="auto"/>
        <w:rPr>
          <w:sz w:val="20"/>
          <w:szCs w:val="20"/>
          <w:highlight w:val="yellow"/>
          <w:lang w:val="hr-HR"/>
        </w:rPr>
      </w:pPr>
    </w:p>
    <w:p w14:paraId="1C815D24" w14:textId="77777777" w:rsidR="00B3314F" w:rsidRPr="00025326" w:rsidRDefault="00B3314F" w:rsidP="0035474D">
      <w:pPr>
        <w:spacing w:line="276" w:lineRule="auto"/>
        <w:rPr>
          <w:sz w:val="20"/>
          <w:szCs w:val="20"/>
          <w:highlight w:val="yellow"/>
          <w:lang w:val="hr-HR"/>
        </w:rPr>
      </w:pPr>
    </w:p>
    <w:p w14:paraId="29DF00BA" w14:textId="77777777" w:rsidR="00B3314F" w:rsidRPr="00025326" w:rsidRDefault="00B3314F" w:rsidP="0035474D">
      <w:pPr>
        <w:spacing w:line="276" w:lineRule="auto"/>
        <w:rPr>
          <w:sz w:val="20"/>
          <w:szCs w:val="20"/>
          <w:highlight w:val="yellow"/>
          <w:lang w:val="hr-HR"/>
        </w:rPr>
      </w:pPr>
    </w:p>
    <w:p w14:paraId="6B2BA075" w14:textId="77777777" w:rsidR="00B3314F" w:rsidRPr="00025326" w:rsidRDefault="00B3314F" w:rsidP="0035474D">
      <w:pPr>
        <w:spacing w:line="276" w:lineRule="auto"/>
        <w:rPr>
          <w:sz w:val="20"/>
          <w:szCs w:val="20"/>
          <w:highlight w:val="yellow"/>
          <w:lang w:val="hr-HR"/>
        </w:rPr>
      </w:pPr>
    </w:p>
    <w:p w14:paraId="03B78DE3" w14:textId="77777777" w:rsidR="00B3314F" w:rsidRPr="00025326" w:rsidRDefault="00B3314F" w:rsidP="0035474D">
      <w:pPr>
        <w:spacing w:line="276" w:lineRule="auto"/>
        <w:rPr>
          <w:sz w:val="20"/>
          <w:szCs w:val="20"/>
          <w:highlight w:val="yellow"/>
          <w:lang w:val="hr-HR"/>
        </w:rPr>
      </w:pPr>
    </w:p>
    <w:p w14:paraId="33CAE7CD" w14:textId="77777777" w:rsidR="008269EF" w:rsidRPr="002F293E" w:rsidRDefault="008269EF" w:rsidP="0035474D">
      <w:pPr>
        <w:pStyle w:val="Caption"/>
        <w:spacing w:before="240" w:line="276" w:lineRule="auto"/>
        <w:rPr>
          <w:i/>
          <w:sz w:val="24"/>
          <w:lang w:val="hr-HR"/>
        </w:rPr>
      </w:pPr>
      <w:bookmarkStart w:id="5" w:name="_Toc10032459"/>
      <w:r w:rsidRPr="002F293E">
        <w:rPr>
          <w:i/>
          <w:sz w:val="24"/>
          <w:lang w:val="hr-HR"/>
        </w:rPr>
        <w:lastRenderedPageBreak/>
        <w:t xml:space="preserve">Grafikon </w:t>
      </w:r>
      <w:r w:rsidRPr="002F293E">
        <w:rPr>
          <w:i/>
          <w:sz w:val="24"/>
          <w:lang w:val="hr-HR"/>
        </w:rPr>
        <w:fldChar w:fldCharType="begin"/>
      </w:r>
      <w:r w:rsidRPr="002F293E">
        <w:rPr>
          <w:i/>
          <w:sz w:val="24"/>
          <w:lang w:val="hr-HR"/>
        </w:rPr>
        <w:instrText xml:space="preserve"> SEQ Grafikon \* ARABIC </w:instrText>
      </w:r>
      <w:r w:rsidRPr="002F293E">
        <w:rPr>
          <w:i/>
          <w:sz w:val="24"/>
          <w:lang w:val="hr-HR"/>
        </w:rPr>
        <w:fldChar w:fldCharType="separate"/>
      </w:r>
      <w:r w:rsidR="00CE0BC8">
        <w:rPr>
          <w:i/>
          <w:noProof/>
          <w:sz w:val="24"/>
          <w:lang w:val="hr-HR"/>
        </w:rPr>
        <w:t>1</w:t>
      </w:r>
      <w:r w:rsidRPr="002F293E">
        <w:rPr>
          <w:i/>
          <w:sz w:val="24"/>
          <w:lang w:val="hr-HR"/>
        </w:rPr>
        <w:fldChar w:fldCharType="end"/>
      </w:r>
      <w:r w:rsidRPr="002F293E">
        <w:rPr>
          <w:i/>
          <w:sz w:val="24"/>
          <w:lang w:val="hr-HR"/>
        </w:rPr>
        <w:t>: Kret</w:t>
      </w:r>
      <w:r w:rsidR="004174B3" w:rsidRPr="002F293E">
        <w:rPr>
          <w:i/>
          <w:sz w:val="24"/>
          <w:lang w:val="hr-HR"/>
        </w:rPr>
        <w:t>anje javnog duga u razdoblju 2011</w:t>
      </w:r>
      <w:r w:rsidRPr="002F293E">
        <w:rPr>
          <w:i/>
          <w:sz w:val="24"/>
          <w:lang w:val="hr-HR"/>
        </w:rPr>
        <w:t>. - 201</w:t>
      </w:r>
      <w:r w:rsidR="002F293E" w:rsidRPr="002F293E">
        <w:rPr>
          <w:i/>
          <w:sz w:val="24"/>
          <w:lang w:val="hr-HR"/>
        </w:rPr>
        <w:t>8</w:t>
      </w:r>
      <w:r w:rsidRPr="002F293E">
        <w:rPr>
          <w:i/>
          <w:sz w:val="24"/>
          <w:lang w:val="hr-HR"/>
        </w:rPr>
        <w:t>.</w:t>
      </w:r>
      <w:bookmarkEnd w:id="5"/>
    </w:p>
    <w:p w14:paraId="0A2B6F01" w14:textId="77777777" w:rsidR="00925806" w:rsidRPr="00025326" w:rsidRDefault="002F293E" w:rsidP="00FE6056">
      <w:pPr>
        <w:spacing w:line="276" w:lineRule="auto"/>
        <w:jc w:val="both"/>
        <w:rPr>
          <w:i/>
          <w:sz w:val="20"/>
          <w:highlight w:val="yellow"/>
          <w:lang w:val="hr-HR"/>
        </w:rPr>
      </w:pPr>
      <w:r w:rsidRPr="002F293E">
        <w:rPr>
          <w:noProof/>
          <w:lang w:val="hr-HR" w:eastAsia="hr-HR"/>
        </w:rPr>
        <w:drawing>
          <wp:inline distT="0" distB="0" distL="0" distR="0" wp14:anchorId="556AEEC7" wp14:editId="02571985">
            <wp:extent cx="5759450" cy="284258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2842582"/>
                    </a:xfrm>
                    <a:prstGeom prst="rect">
                      <a:avLst/>
                    </a:prstGeom>
                    <a:noFill/>
                    <a:ln>
                      <a:noFill/>
                    </a:ln>
                  </pic:spPr>
                </pic:pic>
              </a:graphicData>
            </a:graphic>
          </wp:inline>
        </w:drawing>
      </w:r>
    </w:p>
    <w:p w14:paraId="3F4E3070" w14:textId="77777777" w:rsidR="008269EF" w:rsidRPr="002F293E" w:rsidRDefault="008269EF" w:rsidP="00FE6056">
      <w:pPr>
        <w:spacing w:line="276" w:lineRule="auto"/>
        <w:jc w:val="both"/>
        <w:rPr>
          <w:i/>
          <w:sz w:val="20"/>
          <w:szCs w:val="20"/>
          <w:lang w:val="hr-HR"/>
        </w:rPr>
      </w:pPr>
      <w:r w:rsidRPr="002F293E">
        <w:rPr>
          <w:i/>
          <w:sz w:val="20"/>
          <w:szCs w:val="20"/>
          <w:lang w:val="hr-HR"/>
        </w:rPr>
        <w:t>Izvor: HNB, DZS</w:t>
      </w:r>
    </w:p>
    <w:p w14:paraId="35A4FF92" w14:textId="77777777" w:rsidR="00541CF6" w:rsidRDefault="00541CF6" w:rsidP="002F293E">
      <w:pPr>
        <w:spacing w:after="200" w:line="276" w:lineRule="auto"/>
        <w:jc w:val="both"/>
        <w:rPr>
          <w:lang w:val="hr-HR"/>
        </w:rPr>
      </w:pPr>
    </w:p>
    <w:p w14:paraId="15ED5770" w14:textId="77777777" w:rsidR="002F293E" w:rsidRPr="002F293E" w:rsidRDefault="002F293E" w:rsidP="002F293E">
      <w:pPr>
        <w:spacing w:after="200" w:line="276" w:lineRule="auto"/>
        <w:jc w:val="both"/>
        <w:rPr>
          <w:sz w:val="24"/>
          <w:szCs w:val="24"/>
          <w:lang w:val="hr-HR"/>
        </w:rPr>
      </w:pPr>
      <w:r w:rsidRPr="002F293E">
        <w:rPr>
          <w:sz w:val="24"/>
          <w:szCs w:val="24"/>
          <w:lang w:val="hr-HR"/>
        </w:rPr>
        <w:t xml:space="preserve">Ukupna izdana jamstva RH krajem 2018. iznosila su 6,3 milijarde kuna, odnosno 1,7% BDP-a te su u odnosu na kraj 2017. godine smanjena za 4,9 milijardi kuna, prvenstveno kao posljedica reklasificiranja jamstva Uljanik grupe u javni dug. </w:t>
      </w:r>
    </w:p>
    <w:p w14:paraId="4D401D88" w14:textId="77777777" w:rsidR="002F293E" w:rsidRPr="002F293E" w:rsidRDefault="002F293E" w:rsidP="002F293E">
      <w:pPr>
        <w:spacing w:after="200" w:line="276" w:lineRule="auto"/>
        <w:jc w:val="both"/>
        <w:rPr>
          <w:sz w:val="24"/>
          <w:szCs w:val="24"/>
          <w:lang w:val="hr-HR"/>
        </w:rPr>
      </w:pPr>
      <w:r w:rsidRPr="002F293E">
        <w:rPr>
          <w:sz w:val="24"/>
          <w:szCs w:val="24"/>
          <w:lang w:val="hr-HR"/>
        </w:rPr>
        <w:t>Prema posljednjim dostupnim podacima DZS</w:t>
      </w:r>
      <w:r w:rsidR="006E5738">
        <w:rPr>
          <w:sz w:val="24"/>
          <w:szCs w:val="24"/>
          <w:lang w:val="hr-HR"/>
        </w:rPr>
        <w:t>-a</w:t>
      </w:r>
      <w:r w:rsidRPr="002F293E">
        <w:rPr>
          <w:sz w:val="24"/>
          <w:szCs w:val="24"/>
          <w:lang w:val="hr-HR"/>
        </w:rPr>
        <w:t xml:space="preserve"> o potencijalnim obvezama sektora opće države u skladu s Direktivom Vijeća 2011/85/EU o zahtjevima za proračunske okvire država članica, krajem 2017. godine obveze javnih poduzeća koje su pod kontrolom države, no nisu u statističkom obuhvatu opće države, iznosile su svega 9,7% BDP-a, čime se RH nalazi pri dnu po visini ovih potencijalnih obveza u usporedbi s ostalim državama članicama EU. Ovako relativno niska razina potencijalnih obveza prvenstveno je rezultat ranijeg usklađivanja s metodologijom ESA 2010 i reklasifikacije velikog dijela poduzeća u državnom vlasništvu u sektor opće države odnosno u javni dug.</w:t>
      </w:r>
    </w:p>
    <w:p w14:paraId="2FB9CCF0" w14:textId="77777777" w:rsidR="002F293E" w:rsidRPr="002F293E" w:rsidRDefault="002F293E" w:rsidP="002F293E">
      <w:pPr>
        <w:spacing w:after="200" w:line="276" w:lineRule="auto"/>
        <w:jc w:val="both"/>
        <w:rPr>
          <w:sz w:val="24"/>
          <w:szCs w:val="24"/>
          <w:lang w:val="hr-HR"/>
        </w:rPr>
      </w:pPr>
      <w:r w:rsidRPr="002F293E">
        <w:rPr>
          <w:sz w:val="24"/>
          <w:szCs w:val="24"/>
          <w:lang w:val="hr-HR"/>
        </w:rPr>
        <w:t>Zakonom o izvršavanju Državnog proračuna RH za 2019.</w:t>
      </w:r>
      <w:r w:rsidRPr="00541CF6">
        <w:rPr>
          <w:rFonts w:cs="Times New Roman"/>
          <w:sz w:val="24"/>
          <w:szCs w:val="24"/>
          <w:vertAlign w:val="superscript"/>
          <w:lang w:val="hr-HR"/>
        </w:rPr>
        <w:footnoteReference w:id="3"/>
      </w:r>
      <w:r w:rsidRPr="002F293E">
        <w:rPr>
          <w:sz w:val="24"/>
          <w:szCs w:val="24"/>
          <w:lang w:val="hr-HR"/>
        </w:rPr>
        <w:t xml:space="preserve"> utvrđeno je da godišnja vrijednost novih financijskih jamstava za 2019. godinu iznosi 3,9 milijardi kuna, od čega se iznos od 1,3 milijarde kuna odnosi na izvanproračunske korisnike državnog proračuna.</w:t>
      </w:r>
    </w:p>
    <w:p w14:paraId="05F7E790" w14:textId="77777777" w:rsidR="00DB3EFF" w:rsidRPr="00025326" w:rsidRDefault="00DB3EFF">
      <w:pPr>
        <w:rPr>
          <w:highlight w:val="yellow"/>
          <w:lang w:val="hr-HR"/>
        </w:rPr>
      </w:pPr>
      <w:r w:rsidRPr="00025326">
        <w:rPr>
          <w:highlight w:val="yellow"/>
          <w:lang w:val="hr-HR"/>
        </w:rPr>
        <w:br w:type="page"/>
      </w:r>
    </w:p>
    <w:p w14:paraId="127B20A9" w14:textId="77777777" w:rsidR="00C73FC7" w:rsidRDefault="00C73FC7" w:rsidP="0035474D">
      <w:pPr>
        <w:pStyle w:val="Heading1"/>
        <w:numPr>
          <w:ilvl w:val="0"/>
          <w:numId w:val="1"/>
        </w:numPr>
        <w:spacing w:line="276" w:lineRule="auto"/>
        <w:rPr>
          <w:lang w:val="hr-HR"/>
        </w:rPr>
      </w:pPr>
      <w:bookmarkStart w:id="6" w:name="_Toc10032422"/>
      <w:r w:rsidRPr="00A47CC3">
        <w:rPr>
          <w:lang w:val="hr-HR"/>
        </w:rPr>
        <w:lastRenderedPageBreak/>
        <w:t>PREGLE</w:t>
      </w:r>
      <w:r w:rsidR="00B95A53" w:rsidRPr="00A47CC3">
        <w:rPr>
          <w:lang w:val="hr-HR"/>
        </w:rPr>
        <w:t>D FINANCIJSKOG ZADUŽIVANJA U</w:t>
      </w:r>
      <w:r w:rsidRPr="00A47CC3">
        <w:rPr>
          <w:lang w:val="hr-HR"/>
        </w:rPr>
        <w:t xml:space="preserve"> 201</w:t>
      </w:r>
      <w:r w:rsidR="00B90E36" w:rsidRPr="00A47CC3">
        <w:rPr>
          <w:lang w:val="hr-HR"/>
        </w:rPr>
        <w:t>8</w:t>
      </w:r>
      <w:r w:rsidRPr="00A47CC3">
        <w:rPr>
          <w:lang w:val="hr-HR"/>
        </w:rPr>
        <w:t>. GODINI</w:t>
      </w:r>
      <w:bookmarkEnd w:id="6"/>
      <w:r w:rsidRPr="00A47CC3">
        <w:rPr>
          <w:lang w:val="hr-HR"/>
        </w:rPr>
        <w:t xml:space="preserve"> </w:t>
      </w:r>
    </w:p>
    <w:p w14:paraId="18A0A05B" w14:textId="77777777" w:rsidR="00A03B66" w:rsidRPr="002330BF" w:rsidRDefault="00A03B66" w:rsidP="00A03B66">
      <w:pPr>
        <w:rPr>
          <w:lang w:val="hr-HR"/>
        </w:rPr>
      </w:pPr>
    </w:p>
    <w:p w14:paraId="653475EF" w14:textId="77777777" w:rsidR="002330BF" w:rsidRPr="002330BF" w:rsidRDefault="00A03B66" w:rsidP="006E5738">
      <w:pPr>
        <w:tabs>
          <w:tab w:val="left" w:pos="0"/>
        </w:tabs>
        <w:spacing w:after="240" w:line="276" w:lineRule="auto"/>
        <w:jc w:val="both"/>
        <w:rPr>
          <w:rFonts w:eastAsia="Calibri"/>
          <w:color w:val="FF0000"/>
          <w:sz w:val="24"/>
          <w:szCs w:val="24"/>
          <w:lang w:val="hr-HR"/>
        </w:rPr>
      </w:pPr>
      <w:r w:rsidRPr="002330BF">
        <w:rPr>
          <w:rFonts w:eastAsia="Calibri"/>
          <w:sz w:val="24"/>
          <w:szCs w:val="24"/>
          <w:lang w:val="hr-HR"/>
        </w:rPr>
        <w:t>Ciljevi i svrha zaduživanja propisani su odredbama Zakona o proračunu, prema koj</w:t>
      </w:r>
      <w:r w:rsidR="00E60085" w:rsidRPr="002330BF">
        <w:rPr>
          <w:rFonts w:eastAsia="Calibri"/>
          <w:sz w:val="24"/>
          <w:szCs w:val="24"/>
          <w:lang w:val="hr-HR"/>
        </w:rPr>
        <w:t xml:space="preserve">ima </w:t>
      </w:r>
      <w:r w:rsidRPr="002330BF">
        <w:rPr>
          <w:rFonts w:eastAsia="Calibri"/>
          <w:sz w:val="24"/>
          <w:szCs w:val="24"/>
          <w:lang w:val="hr-HR"/>
        </w:rPr>
        <w:t xml:space="preserve">je osnovni cilj zaduživanja i upravljanja dugom osiguranje financijskih potreba državnog proračuna postizanjem najnižeg srednjoročnog i dugoročnog troška financiranja uz preuzimanje razboritog stupnja rizika. Zaduživanje se može provesti u zemlji i inozemstvu u opsegu propisanome zakonom, a gornji iznos novog zaduživanja, kao i obveza s osnove tekućih otplata državnog duga, propisuju se godišnjim zakonima o izvršavanju državnog proračuna. </w:t>
      </w:r>
    </w:p>
    <w:p w14:paraId="289D387A" w14:textId="35089306" w:rsidR="002330BF" w:rsidRPr="00C661BD" w:rsidRDefault="002330BF" w:rsidP="00DF23F9">
      <w:pPr>
        <w:tabs>
          <w:tab w:val="left" w:pos="0"/>
        </w:tabs>
        <w:spacing w:after="240" w:line="276" w:lineRule="auto"/>
        <w:jc w:val="both"/>
        <w:rPr>
          <w:rFonts w:eastAsia="Calibri"/>
          <w:sz w:val="24"/>
          <w:szCs w:val="24"/>
          <w:lang w:val="hr-HR"/>
        </w:rPr>
      </w:pPr>
      <w:r w:rsidRPr="002330BF">
        <w:rPr>
          <w:sz w:val="24"/>
          <w:szCs w:val="24"/>
          <w:lang w:val="hr-HR"/>
        </w:rPr>
        <w:t xml:space="preserve">Primici od zaduživanja, iskazani su u Računu financiranja za 2018. godinu u iznosu </w:t>
      </w:r>
      <w:r w:rsidR="00C661BD">
        <w:rPr>
          <w:sz w:val="24"/>
          <w:szCs w:val="24"/>
          <w:lang w:val="hr-HR"/>
        </w:rPr>
        <w:t xml:space="preserve">od </w:t>
      </w:r>
      <w:r w:rsidRPr="002330BF">
        <w:rPr>
          <w:sz w:val="24"/>
          <w:szCs w:val="24"/>
          <w:lang w:val="hr-HR"/>
        </w:rPr>
        <w:t>24,</w:t>
      </w:r>
      <w:r w:rsidR="00C661BD">
        <w:rPr>
          <w:sz w:val="24"/>
          <w:szCs w:val="24"/>
          <w:lang w:val="hr-HR"/>
        </w:rPr>
        <w:t>4</w:t>
      </w:r>
      <w:r w:rsidRPr="002330BF">
        <w:rPr>
          <w:sz w:val="24"/>
          <w:szCs w:val="24"/>
          <w:lang w:val="hr-HR"/>
        </w:rPr>
        <w:t xml:space="preserve"> milijard</w:t>
      </w:r>
      <w:r w:rsidR="004D607A">
        <w:rPr>
          <w:sz w:val="24"/>
          <w:szCs w:val="24"/>
          <w:lang w:val="hr-HR"/>
        </w:rPr>
        <w:t>e</w:t>
      </w:r>
      <w:r w:rsidRPr="002330BF">
        <w:rPr>
          <w:sz w:val="24"/>
          <w:szCs w:val="24"/>
          <w:lang w:val="hr-HR"/>
        </w:rPr>
        <w:t xml:space="preserve"> kuna, a odnose se na primitke od izdanih vrijednosnih papira u iznosu 17,7 milijardi kuna te </w:t>
      </w:r>
      <w:r w:rsidRPr="002330BF">
        <w:rPr>
          <w:rFonts w:eastAsia="Calibri"/>
          <w:sz w:val="24"/>
          <w:szCs w:val="24"/>
          <w:lang w:val="hr-HR"/>
        </w:rPr>
        <w:t>kredita i zajmova</w:t>
      </w:r>
      <w:r w:rsidRPr="002330BF">
        <w:rPr>
          <w:sz w:val="24"/>
          <w:szCs w:val="24"/>
          <w:lang w:val="hr-HR"/>
        </w:rPr>
        <w:t xml:space="preserve"> u iznosu </w:t>
      </w:r>
      <w:r w:rsidR="00C661BD">
        <w:rPr>
          <w:sz w:val="24"/>
          <w:szCs w:val="24"/>
          <w:lang w:val="hr-HR"/>
        </w:rPr>
        <w:t xml:space="preserve">od </w:t>
      </w:r>
      <w:r w:rsidRPr="002330BF">
        <w:rPr>
          <w:sz w:val="24"/>
          <w:szCs w:val="24"/>
          <w:lang w:val="hr-HR"/>
        </w:rPr>
        <w:t>6,7 milijard</w:t>
      </w:r>
      <w:r w:rsidR="006E5738">
        <w:rPr>
          <w:sz w:val="24"/>
          <w:szCs w:val="24"/>
          <w:lang w:val="hr-HR"/>
        </w:rPr>
        <w:t>i</w:t>
      </w:r>
      <w:r w:rsidRPr="002330BF">
        <w:rPr>
          <w:sz w:val="24"/>
          <w:szCs w:val="24"/>
          <w:lang w:val="hr-HR"/>
        </w:rPr>
        <w:t xml:space="preserve"> kuna. </w:t>
      </w:r>
      <w:r w:rsidRPr="002330BF">
        <w:rPr>
          <w:rFonts w:eastAsia="Calibri"/>
          <w:sz w:val="24"/>
          <w:szCs w:val="24"/>
          <w:lang w:val="hr-HR"/>
        </w:rPr>
        <w:t xml:space="preserve">Primici od izdanih vrijednosnih papira </w:t>
      </w:r>
      <w:r w:rsidRPr="002330BF">
        <w:rPr>
          <w:sz w:val="24"/>
          <w:szCs w:val="24"/>
          <w:lang w:val="hr-HR"/>
        </w:rPr>
        <w:t>odnose se na primitke od obveznica u iznosu 16 milijard</w:t>
      </w:r>
      <w:r w:rsidR="00C661BD">
        <w:rPr>
          <w:sz w:val="24"/>
          <w:szCs w:val="24"/>
          <w:lang w:val="hr-HR"/>
        </w:rPr>
        <w:t>i</w:t>
      </w:r>
      <w:r w:rsidRPr="002330BF">
        <w:rPr>
          <w:sz w:val="24"/>
          <w:szCs w:val="24"/>
          <w:lang w:val="hr-HR"/>
        </w:rPr>
        <w:t xml:space="preserve"> kuna te neto primitke od trezorskih zapisa u </w:t>
      </w:r>
      <w:r w:rsidRPr="00C661BD">
        <w:rPr>
          <w:sz w:val="24"/>
          <w:szCs w:val="24"/>
          <w:lang w:val="hr-HR"/>
        </w:rPr>
        <w:t>iznosu</w:t>
      </w:r>
      <w:r w:rsidRPr="007F181C">
        <w:rPr>
          <w:sz w:val="24"/>
          <w:lang w:val="hr-HR"/>
        </w:rPr>
        <w:t xml:space="preserve"> </w:t>
      </w:r>
      <w:r w:rsidR="00C661BD" w:rsidRPr="00C661BD">
        <w:rPr>
          <w:sz w:val="24"/>
          <w:szCs w:val="24"/>
          <w:lang w:val="hr-HR"/>
        </w:rPr>
        <w:t xml:space="preserve">od </w:t>
      </w:r>
      <w:r w:rsidRPr="00C661BD">
        <w:rPr>
          <w:sz w:val="24"/>
          <w:szCs w:val="24"/>
          <w:lang w:val="hr-HR"/>
        </w:rPr>
        <w:t>1,</w:t>
      </w:r>
      <w:r w:rsidR="00C661BD" w:rsidRPr="00C661BD">
        <w:rPr>
          <w:sz w:val="24"/>
          <w:szCs w:val="24"/>
          <w:lang w:val="hr-HR"/>
        </w:rPr>
        <w:t>7</w:t>
      </w:r>
      <w:r w:rsidRPr="00C661BD">
        <w:rPr>
          <w:sz w:val="24"/>
          <w:szCs w:val="24"/>
          <w:lang w:val="hr-HR"/>
        </w:rPr>
        <w:t xml:space="preserve"> milijard</w:t>
      </w:r>
      <w:r w:rsidR="006E5738" w:rsidRPr="00C661BD">
        <w:rPr>
          <w:sz w:val="24"/>
          <w:szCs w:val="24"/>
          <w:lang w:val="hr-HR"/>
        </w:rPr>
        <w:t>i</w:t>
      </w:r>
      <w:r w:rsidRPr="00C661BD">
        <w:rPr>
          <w:sz w:val="24"/>
          <w:szCs w:val="24"/>
          <w:lang w:val="hr-HR"/>
        </w:rPr>
        <w:t xml:space="preserve"> kuna.</w:t>
      </w:r>
      <w:r w:rsidRPr="00C661BD">
        <w:rPr>
          <w:rFonts w:eastAsia="Calibri"/>
          <w:sz w:val="24"/>
          <w:szCs w:val="24"/>
          <w:lang w:val="hr-HR"/>
        </w:rPr>
        <w:t xml:space="preserve"> </w:t>
      </w:r>
    </w:p>
    <w:p w14:paraId="328C7451" w14:textId="77777777" w:rsidR="008B368B" w:rsidRPr="00C661BD" w:rsidRDefault="008B368B" w:rsidP="00DF23F9">
      <w:pPr>
        <w:tabs>
          <w:tab w:val="left" w:pos="0"/>
        </w:tabs>
        <w:spacing w:after="240" w:line="276" w:lineRule="auto"/>
        <w:jc w:val="both"/>
        <w:rPr>
          <w:rFonts w:eastAsia="Calibri"/>
          <w:sz w:val="24"/>
          <w:szCs w:val="24"/>
          <w:lang w:val="hr-HR"/>
        </w:rPr>
      </w:pPr>
    </w:p>
    <w:p w14:paraId="515712A7" w14:textId="77777777" w:rsidR="008B368B" w:rsidRPr="007F181C" w:rsidRDefault="008B368B" w:rsidP="00DF23F9">
      <w:pPr>
        <w:tabs>
          <w:tab w:val="left" w:pos="0"/>
        </w:tabs>
        <w:spacing w:after="240" w:line="276" w:lineRule="auto"/>
        <w:jc w:val="both"/>
        <w:rPr>
          <w:sz w:val="24"/>
          <w:lang w:val="hr-HR"/>
        </w:rPr>
      </w:pPr>
    </w:p>
    <w:p w14:paraId="14737899" w14:textId="77777777" w:rsidR="00C73FC7" w:rsidRPr="00092E82" w:rsidRDefault="00C73FC7" w:rsidP="00B71C90">
      <w:pPr>
        <w:pStyle w:val="Heading2"/>
        <w:numPr>
          <w:ilvl w:val="1"/>
          <w:numId w:val="1"/>
        </w:numPr>
        <w:spacing w:before="240" w:line="276" w:lineRule="auto"/>
        <w:rPr>
          <w:lang w:val="hr-HR"/>
        </w:rPr>
      </w:pPr>
      <w:bookmarkStart w:id="7" w:name="_Toc10032423"/>
      <w:r w:rsidRPr="00092E82">
        <w:rPr>
          <w:lang w:val="hr-HR"/>
        </w:rPr>
        <w:t>Zaduživanje putem obveznica</w:t>
      </w:r>
      <w:bookmarkEnd w:id="7"/>
    </w:p>
    <w:p w14:paraId="2CE63696" w14:textId="24FD2CCA" w:rsidR="004F1F3D" w:rsidRDefault="004F1F3D" w:rsidP="00B71C90">
      <w:pPr>
        <w:spacing w:before="240" w:line="276" w:lineRule="auto"/>
        <w:jc w:val="both"/>
        <w:rPr>
          <w:sz w:val="24"/>
          <w:szCs w:val="24"/>
          <w:lang w:val="hr-HR"/>
        </w:rPr>
      </w:pPr>
      <w:r w:rsidRPr="00A03B66">
        <w:rPr>
          <w:sz w:val="24"/>
          <w:szCs w:val="24"/>
          <w:lang w:val="hr-HR"/>
        </w:rPr>
        <w:t>T</w:t>
      </w:r>
      <w:r w:rsidR="00A03B66" w:rsidRPr="00A03B66">
        <w:rPr>
          <w:sz w:val="24"/>
          <w:szCs w:val="24"/>
          <w:lang w:val="hr-HR"/>
        </w:rPr>
        <w:t>i</w:t>
      </w:r>
      <w:r w:rsidRPr="00A03B66">
        <w:rPr>
          <w:sz w:val="24"/>
          <w:szCs w:val="24"/>
          <w:lang w:val="hr-HR"/>
        </w:rPr>
        <w:t xml:space="preserve">jekom 2018. godine, radi izvršenja izdataka utvrđenih Zakonom o izvršavanju državnog proračuna RH za 2018. godinu, </w:t>
      </w:r>
      <w:r w:rsidR="006E5738">
        <w:rPr>
          <w:sz w:val="24"/>
          <w:szCs w:val="24"/>
          <w:lang w:val="hr-HR"/>
        </w:rPr>
        <w:t>RH</w:t>
      </w:r>
      <w:r w:rsidRPr="00A03B66">
        <w:rPr>
          <w:sz w:val="24"/>
          <w:szCs w:val="24"/>
          <w:lang w:val="hr-HR"/>
        </w:rPr>
        <w:t xml:space="preserve"> se zadužila izdavanjem dviju obveznica uz plasman na domaćem tržištu i jedn</w:t>
      </w:r>
      <w:r w:rsidR="00C74B85">
        <w:rPr>
          <w:sz w:val="24"/>
          <w:szCs w:val="24"/>
          <w:lang w:val="hr-HR"/>
        </w:rPr>
        <w:t>e</w:t>
      </w:r>
      <w:r w:rsidRPr="00A03B66">
        <w:rPr>
          <w:sz w:val="24"/>
          <w:szCs w:val="24"/>
          <w:lang w:val="hr-HR"/>
        </w:rPr>
        <w:t xml:space="preserve"> obveznic</w:t>
      </w:r>
      <w:r w:rsidR="00C74B85">
        <w:rPr>
          <w:sz w:val="24"/>
          <w:szCs w:val="24"/>
          <w:lang w:val="hr-HR"/>
        </w:rPr>
        <w:t>e</w:t>
      </w:r>
      <w:r w:rsidRPr="00A03B66">
        <w:rPr>
          <w:sz w:val="24"/>
          <w:szCs w:val="24"/>
          <w:lang w:val="hr-HR"/>
        </w:rPr>
        <w:t xml:space="preserve"> na međunarodnom tržištu kapitala.</w:t>
      </w:r>
      <w:r w:rsidR="00186B65">
        <w:rPr>
          <w:sz w:val="24"/>
          <w:szCs w:val="24"/>
          <w:lang w:val="hr-HR"/>
        </w:rPr>
        <w:t xml:space="preserve"> Dospjelo je i iskupljeno jedno izdanje domaćih obveznica te jedno izdanje euroobveznica.</w:t>
      </w:r>
    </w:p>
    <w:p w14:paraId="16C8EA64" w14:textId="77777777" w:rsidR="008B368B" w:rsidRPr="00A03B66" w:rsidRDefault="008B368B" w:rsidP="00B71C90">
      <w:pPr>
        <w:spacing w:before="240" w:line="276" w:lineRule="auto"/>
        <w:jc w:val="both"/>
        <w:rPr>
          <w:sz w:val="24"/>
          <w:szCs w:val="24"/>
          <w:lang w:val="hr-HR"/>
        </w:rPr>
      </w:pPr>
    </w:p>
    <w:p w14:paraId="34D4C643" w14:textId="77777777" w:rsidR="00CA7E81" w:rsidRPr="00DF23F9" w:rsidRDefault="00CA7E81" w:rsidP="00DF23F9">
      <w:pPr>
        <w:spacing w:after="200" w:line="276" w:lineRule="auto"/>
        <w:rPr>
          <w:rFonts w:asciiTheme="majorHAnsi" w:eastAsiaTheme="majorEastAsia" w:hAnsiTheme="majorHAnsi" w:cstheme="majorBidi"/>
          <w:i/>
          <w:iCs/>
          <w:color w:val="4F81BD" w:themeColor="accent1"/>
          <w:spacing w:val="15"/>
          <w:sz w:val="24"/>
          <w:szCs w:val="24"/>
          <w:lang w:val="hr-HR"/>
        </w:rPr>
      </w:pPr>
      <w:bookmarkStart w:id="8" w:name="_Toc515282146"/>
      <w:r w:rsidRPr="00DF23F9">
        <w:rPr>
          <w:rFonts w:asciiTheme="majorHAnsi" w:eastAsiaTheme="majorEastAsia" w:hAnsiTheme="majorHAnsi" w:cstheme="majorBidi"/>
          <w:i/>
          <w:iCs/>
          <w:color w:val="4F81BD" w:themeColor="accent1"/>
          <w:spacing w:val="15"/>
          <w:sz w:val="24"/>
          <w:szCs w:val="24"/>
          <w:lang w:val="hr-HR"/>
        </w:rPr>
        <w:t>Euroobveznice na međunarodnom tržištu</w:t>
      </w:r>
      <w:bookmarkEnd w:id="8"/>
      <w:r w:rsidRPr="00DF23F9">
        <w:rPr>
          <w:rFonts w:asciiTheme="majorHAnsi" w:eastAsiaTheme="majorEastAsia" w:hAnsiTheme="majorHAnsi" w:cstheme="majorBidi"/>
          <w:i/>
          <w:iCs/>
          <w:color w:val="4F81BD" w:themeColor="accent1"/>
          <w:spacing w:val="15"/>
          <w:sz w:val="24"/>
          <w:szCs w:val="24"/>
          <w:lang w:val="hr-HR"/>
        </w:rPr>
        <w:t xml:space="preserve"> </w:t>
      </w:r>
    </w:p>
    <w:p w14:paraId="61C6BA33" w14:textId="77777777" w:rsidR="004F1F3D" w:rsidRPr="004F1F3D" w:rsidRDefault="006E5738" w:rsidP="00B71C90">
      <w:pPr>
        <w:spacing w:before="240" w:line="276" w:lineRule="auto"/>
        <w:jc w:val="both"/>
        <w:rPr>
          <w:sz w:val="24"/>
          <w:szCs w:val="24"/>
          <w:lang w:val="hr-HR" w:eastAsia="hr-HR"/>
        </w:rPr>
      </w:pPr>
      <w:r>
        <w:rPr>
          <w:sz w:val="24"/>
          <w:szCs w:val="24"/>
          <w:lang w:val="hr-HR" w:eastAsia="hr-HR"/>
        </w:rPr>
        <w:t>RH</w:t>
      </w:r>
      <w:r w:rsidR="004F1F3D" w:rsidRPr="004F1F3D">
        <w:rPr>
          <w:sz w:val="24"/>
          <w:szCs w:val="24"/>
          <w:lang w:val="hr-HR" w:eastAsia="hr-HR"/>
        </w:rPr>
        <w:t xml:space="preserve"> se u lipnju </w:t>
      </w:r>
      <w:r w:rsidR="006842B2">
        <w:rPr>
          <w:sz w:val="24"/>
          <w:szCs w:val="24"/>
          <w:lang w:val="hr-HR" w:eastAsia="hr-HR"/>
        </w:rPr>
        <w:t xml:space="preserve">2018. godine </w:t>
      </w:r>
      <w:r w:rsidR="004F1F3D" w:rsidRPr="004F1F3D">
        <w:rPr>
          <w:sz w:val="24"/>
          <w:szCs w:val="24"/>
          <w:lang w:val="hr-HR" w:eastAsia="hr-HR"/>
        </w:rPr>
        <w:t>zadužila na međunarodnom financijskom tržištu izdavanjem desetogodišnjih euroobveznica u iznosu od 750 milijuna eura</w:t>
      </w:r>
      <w:r w:rsidR="004F1F3D" w:rsidRPr="00DF23F9">
        <w:rPr>
          <w:sz w:val="24"/>
          <w:szCs w:val="24"/>
          <w:lang w:val="hr-HR" w:eastAsia="hr-HR"/>
        </w:rPr>
        <w:t>.</w:t>
      </w:r>
      <w:r w:rsidR="004F1F3D" w:rsidRPr="00641339">
        <w:rPr>
          <w:sz w:val="24"/>
          <w:szCs w:val="24"/>
          <w:lang w:val="hr-HR" w:eastAsia="hr-HR"/>
        </w:rPr>
        <w:t xml:space="preserve"> </w:t>
      </w:r>
      <w:r w:rsidR="004F1F3D" w:rsidRPr="004F1F3D">
        <w:rPr>
          <w:sz w:val="24"/>
          <w:szCs w:val="24"/>
          <w:lang w:val="hr-HR" w:eastAsia="hr-HR"/>
        </w:rPr>
        <w:t>Obveznice su izdane po cijeni od 98,302% nominalnog iznosa uz nepromjenjivi kamatni kupon od 2,70%</w:t>
      </w:r>
      <w:r w:rsidR="004F1F3D" w:rsidRPr="004F1F3D">
        <w:rPr>
          <w:b/>
          <w:sz w:val="24"/>
          <w:szCs w:val="24"/>
          <w:lang w:val="hr-HR" w:eastAsia="hr-HR"/>
        </w:rPr>
        <w:t xml:space="preserve"> </w:t>
      </w:r>
      <w:r w:rsidR="004F1F3D" w:rsidRPr="004F1F3D">
        <w:rPr>
          <w:sz w:val="24"/>
          <w:szCs w:val="24"/>
          <w:lang w:val="hr-HR" w:eastAsia="hr-HR"/>
        </w:rPr>
        <w:t>godišnje, što čini prinos do dospijeća od 2,898%. Obveznice su uplaćene 15. lipnja 2018., a datum dospijeća je 15. lipnja 2028. godine.</w:t>
      </w:r>
    </w:p>
    <w:p w14:paraId="1FE229C5" w14:textId="77777777" w:rsidR="004F1F3D" w:rsidRDefault="004F1F3D" w:rsidP="00B71C90">
      <w:pPr>
        <w:spacing w:before="240" w:line="276" w:lineRule="auto"/>
        <w:jc w:val="both"/>
        <w:rPr>
          <w:sz w:val="24"/>
          <w:szCs w:val="24"/>
          <w:lang w:val="hr-HR" w:eastAsia="hr-HR"/>
        </w:rPr>
      </w:pPr>
      <w:r w:rsidRPr="004F1F3D">
        <w:rPr>
          <w:sz w:val="24"/>
          <w:szCs w:val="24"/>
          <w:lang w:val="hr-HR" w:eastAsia="hr-HR"/>
        </w:rPr>
        <w:t xml:space="preserve">Sredstva ostvarena ovim zaduženjem koristila su se za </w:t>
      </w:r>
      <w:r w:rsidR="00C422FB">
        <w:rPr>
          <w:sz w:val="24"/>
          <w:szCs w:val="24"/>
          <w:lang w:val="hr-HR" w:eastAsia="hr-HR"/>
        </w:rPr>
        <w:t xml:space="preserve">refinanciranje </w:t>
      </w:r>
      <w:r w:rsidRPr="004F1F3D">
        <w:rPr>
          <w:sz w:val="24"/>
          <w:szCs w:val="24"/>
          <w:lang w:val="hr-HR" w:eastAsia="hr-HR"/>
        </w:rPr>
        <w:t>iznosa</w:t>
      </w:r>
      <w:r w:rsidR="006D202A">
        <w:rPr>
          <w:sz w:val="24"/>
          <w:szCs w:val="24"/>
          <w:lang w:val="hr-HR" w:eastAsia="hr-HR"/>
        </w:rPr>
        <w:t xml:space="preserve"> od</w:t>
      </w:r>
      <w:r w:rsidRPr="004F1F3D">
        <w:rPr>
          <w:sz w:val="24"/>
          <w:szCs w:val="24"/>
          <w:lang w:val="hr-HR" w:eastAsia="hr-HR"/>
        </w:rPr>
        <w:t xml:space="preserve"> 750 milijuna eura međunarodnih obveznica dospjelih </w:t>
      </w:r>
      <w:r w:rsidR="006842B2">
        <w:rPr>
          <w:sz w:val="24"/>
          <w:szCs w:val="24"/>
          <w:lang w:val="hr-HR" w:eastAsia="hr-HR"/>
        </w:rPr>
        <w:t>u</w:t>
      </w:r>
      <w:r w:rsidRPr="004F1F3D">
        <w:rPr>
          <w:sz w:val="24"/>
          <w:szCs w:val="24"/>
          <w:lang w:val="hr-HR" w:eastAsia="hr-HR"/>
        </w:rPr>
        <w:t xml:space="preserve"> srpnj</w:t>
      </w:r>
      <w:r w:rsidR="006842B2">
        <w:rPr>
          <w:sz w:val="24"/>
          <w:szCs w:val="24"/>
          <w:lang w:val="hr-HR" w:eastAsia="hr-HR"/>
        </w:rPr>
        <w:t>u</w:t>
      </w:r>
      <w:r w:rsidRPr="004F1F3D">
        <w:rPr>
          <w:sz w:val="24"/>
          <w:szCs w:val="24"/>
          <w:lang w:val="hr-HR" w:eastAsia="hr-HR"/>
        </w:rPr>
        <w:t xml:space="preserve"> 2018. godine. Ove sedmogodišnje obveznice su izdane u srpnju 2011. godine uz nepromjenjivi kamatni kupon </w:t>
      </w:r>
      <w:r w:rsidR="006D202A">
        <w:rPr>
          <w:sz w:val="24"/>
          <w:szCs w:val="24"/>
          <w:lang w:val="hr-HR" w:eastAsia="hr-HR"/>
        </w:rPr>
        <w:t xml:space="preserve">od </w:t>
      </w:r>
      <w:r w:rsidRPr="004F1F3D">
        <w:rPr>
          <w:sz w:val="24"/>
          <w:szCs w:val="24"/>
          <w:lang w:val="hr-HR" w:eastAsia="hr-HR"/>
        </w:rPr>
        <w:t>5,875% godišnje.</w:t>
      </w:r>
    </w:p>
    <w:p w14:paraId="42692BFB" w14:textId="77777777" w:rsidR="008B368B" w:rsidRDefault="008B368B" w:rsidP="00B71C90">
      <w:pPr>
        <w:spacing w:before="240" w:line="276" w:lineRule="auto"/>
        <w:jc w:val="both"/>
        <w:rPr>
          <w:sz w:val="24"/>
          <w:szCs w:val="24"/>
          <w:lang w:val="hr-HR" w:eastAsia="hr-HR"/>
        </w:rPr>
      </w:pPr>
    </w:p>
    <w:p w14:paraId="57C9059D" w14:textId="77777777" w:rsidR="00901AF1" w:rsidRDefault="00901AF1" w:rsidP="00B71C90">
      <w:pPr>
        <w:spacing w:before="240" w:line="276" w:lineRule="auto"/>
        <w:jc w:val="both"/>
        <w:rPr>
          <w:sz w:val="24"/>
          <w:szCs w:val="24"/>
          <w:lang w:val="hr-HR" w:eastAsia="hr-HR"/>
        </w:rPr>
      </w:pPr>
      <w:r>
        <w:rPr>
          <w:sz w:val="24"/>
          <w:szCs w:val="24"/>
          <w:lang w:val="hr-HR" w:eastAsia="hr-HR"/>
        </w:rPr>
        <w:br w:type="page"/>
      </w:r>
    </w:p>
    <w:p w14:paraId="55E9322C" w14:textId="77777777" w:rsidR="00F96117" w:rsidRPr="00DF23F9" w:rsidRDefault="00F96117" w:rsidP="00DF23F9">
      <w:pPr>
        <w:spacing w:after="200" w:line="276" w:lineRule="auto"/>
        <w:rPr>
          <w:rFonts w:asciiTheme="majorHAnsi" w:eastAsiaTheme="majorEastAsia" w:hAnsiTheme="majorHAnsi" w:cstheme="majorBidi"/>
          <w:i/>
          <w:iCs/>
          <w:color w:val="4F81BD" w:themeColor="accent1"/>
          <w:spacing w:val="15"/>
          <w:sz w:val="24"/>
          <w:szCs w:val="24"/>
          <w:lang w:val="hr-HR"/>
        </w:rPr>
      </w:pPr>
      <w:bookmarkStart w:id="9" w:name="_Toc515282147"/>
      <w:r w:rsidRPr="00DF23F9">
        <w:rPr>
          <w:rFonts w:asciiTheme="majorHAnsi" w:eastAsiaTheme="majorEastAsia" w:hAnsiTheme="majorHAnsi" w:cstheme="majorBidi"/>
          <w:i/>
          <w:iCs/>
          <w:color w:val="4F81BD" w:themeColor="accent1"/>
          <w:spacing w:val="15"/>
          <w:sz w:val="24"/>
          <w:szCs w:val="24"/>
          <w:lang w:val="hr-HR"/>
        </w:rPr>
        <w:lastRenderedPageBreak/>
        <w:t>Obveznice uz plasman na domaćem tržištu kapitala</w:t>
      </w:r>
      <w:bookmarkEnd w:id="9"/>
    </w:p>
    <w:p w14:paraId="6E36AF87" w14:textId="1FAC1288" w:rsidR="004F1F3D" w:rsidRPr="004A7C84" w:rsidRDefault="006E5738" w:rsidP="004A7C84">
      <w:pPr>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srpnju 2018. godine zadužila</w:t>
      </w:r>
      <w:r w:rsidR="004A7C84">
        <w:rPr>
          <w:sz w:val="24"/>
          <w:szCs w:val="24"/>
          <w:lang w:val="hr-HR"/>
        </w:rPr>
        <w:t xml:space="preserve"> izdavanjem dviju obveznica uz </w:t>
      </w:r>
      <w:r w:rsidR="004F1F3D" w:rsidRPr="004A7C84">
        <w:rPr>
          <w:sz w:val="24"/>
          <w:szCs w:val="24"/>
          <w:lang w:val="hr-HR"/>
        </w:rPr>
        <w:t xml:space="preserve">plasman na domaćem tržištu kapitala. Obveznice u iznosu od 5,5 milijardi kuna izdane su s dospijećem 27. studenoga 2023. godine po cijeni 102,753% nominalnog iznosa uz nepromjenjivi kamatni kupon od 1,75% godišnje. Ovo izdanje obveznica je konsolidirano s izdanjem iznosa od 5,8 milijardi kuna obveznica iz studenog 2017. godine te s njim čini integralno izdanje u iznosu </w:t>
      </w:r>
      <w:r w:rsidR="006D202A">
        <w:rPr>
          <w:sz w:val="24"/>
          <w:szCs w:val="24"/>
          <w:lang w:val="hr-HR"/>
        </w:rPr>
        <w:t xml:space="preserve">od </w:t>
      </w:r>
      <w:r w:rsidR="004F1F3D" w:rsidRPr="004A7C84">
        <w:rPr>
          <w:sz w:val="24"/>
          <w:szCs w:val="24"/>
          <w:lang w:val="hr-HR"/>
        </w:rPr>
        <w:t>11,3 milijarde kuna.</w:t>
      </w:r>
      <w:r w:rsidR="004A7C84">
        <w:rPr>
          <w:sz w:val="24"/>
          <w:szCs w:val="24"/>
          <w:lang w:val="hr-HR"/>
        </w:rPr>
        <w:t xml:space="preserve"> </w:t>
      </w:r>
      <w:r w:rsidR="004F1F3D" w:rsidRPr="004A7C84">
        <w:rPr>
          <w:sz w:val="24"/>
          <w:szCs w:val="24"/>
          <w:lang w:val="hr-HR"/>
        </w:rPr>
        <w:t>Obveznice u iznosu od 5 milijard</w:t>
      </w:r>
      <w:r w:rsidR="00901AF1">
        <w:rPr>
          <w:sz w:val="24"/>
          <w:szCs w:val="24"/>
          <w:lang w:val="hr-HR"/>
        </w:rPr>
        <w:t>i</w:t>
      </w:r>
      <w:r w:rsidR="004F1F3D" w:rsidRPr="004A7C84">
        <w:rPr>
          <w:sz w:val="24"/>
          <w:szCs w:val="24"/>
          <w:lang w:val="hr-HR"/>
        </w:rPr>
        <w:t xml:space="preserve"> kuna izdane su s dospijećem 9. srpnja 2029. po cijeni </w:t>
      </w:r>
      <w:r w:rsidR="006D202A">
        <w:rPr>
          <w:sz w:val="24"/>
          <w:szCs w:val="24"/>
          <w:lang w:val="hr-HR"/>
        </w:rPr>
        <w:t xml:space="preserve">od </w:t>
      </w:r>
      <w:r w:rsidR="004F1F3D" w:rsidRPr="004A7C84">
        <w:rPr>
          <w:sz w:val="24"/>
          <w:szCs w:val="24"/>
          <w:lang w:val="hr-HR"/>
        </w:rPr>
        <w:t xml:space="preserve">98,048% nominalnog iznosa uz nepromjenjivi kamatni kupon od 2,375% godišnje. </w:t>
      </w:r>
    </w:p>
    <w:p w14:paraId="42F8BD50" w14:textId="274FBA62" w:rsidR="004F1F3D" w:rsidRDefault="00C422FB" w:rsidP="00C422FB">
      <w:pPr>
        <w:spacing w:before="240" w:after="240" w:line="276" w:lineRule="auto"/>
        <w:jc w:val="both"/>
        <w:rPr>
          <w:sz w:val="24"/>
          <w:szCs w:val="24"/>
          <w:lang w:val="hr-HR"/>
        </w:rPr>
      </w:pPr>
      <w:r w:rsidRPr="00C422FB">
        <w:rPr>
          <w:rFonts w:eastAsia="Calibri" w:cs="Times New Roman"/>
          <w:sz w:val="24"/>
          <w:szCs w:val="24"/>
          <w:lang w:val="hr-HR"/>
        </w:rPr>
        <w:t>U skladu s računom financiranja državnog proračuna za 2018. godinu sredstva prikupljena ovim izdanjem obveznica koristila su se za refinanciranje obveznic</w:t>
      </w:r>
      <w:r w:rsidR="006D202A">
        <w:rPr>
          <w:rFonts w:eastAsia="Calibri" w:cs="Times New Roman"/>
          <w:sz w:val="24"/>
          <w:szCs w:val="24"/>
          <w:lang w:val="hr-HR"/>
        </w:rPr>
        <w:t>a</w:t>
      </w:r>
      <w:r w:rsidRPr="00C422FB">
        <w:rPr>
          <w:rFonts w:eastAsia="Calibri" w:cs="Times New Roman"/>
          <w:sz w:val="24"/>
          <w:szCs w:val="24"/>
          <w:lang w:val="hr-HR"/>
        </w:rPr>
        <w:t xml:space="preserve"> dospjelih u srpnju 2018. godine te financiranje općih potreba državnog proračuna.</w:t>
      </w:r>
      <w:r w:rsidR="004F1F3D" w:rsidRPr="00C422FB">
        <w:rPr>
          <w:sz w:val="24"/>
          <w:szCs w:val="24"/>
          <w:lang w:val="hr-HR"/>
        </w:rPr>
        <w:t xml:space="preserve"> Ov</w:t>
      </w:r>
      <w:r w:rsidRPr="00C422FB">
        <w:rPr>
          <w:sz w:val="24"/>
          <w:szCs w:val="24"/>
          <w:lang w:val="hr-HR"/>
        </w:rPr>
        <w:t>a</w:t>
      </w:r>
      <w:r w:rsidR="004F1F3D" w:rsidRPr="00C422FB">
        <w:rPr>
          <w:sz w:val="24"/>
          <w:szCs w:val="24"/>
          <w:lang w:val="hr-HR"/>
        </w:rPr>
        <w:t xml:space="preserve"> petogodišnj</w:t>
      </w:r>
      <w:r w:rsidRPr="00C422FB">
        <w:rPr>
          <w:sz w:val="24"/>
          <w:szCs w:val="24"/>
          <w:lang w:val="hr-HR"/>
        </w:rPr>
        <w:t>a</w:t>
      </w:r>
      <w:r w:rsidR="004F1F3D" w:rsidRPr="00C422FB">
        <w:rPr>
          <w:sz w:val="24"/>
          <w:szCs w:val="24"/>
          <w:lang w:val="hr-HR"/>
        </w:rPr>
        <w:t xml:space="preserve"> obveznic</w:t>
      </w:r>
      <w:r w:rsidRPr="00C422FB">
        <w:rPr>
          <w:sz w:val="24"/>
          <w:szCs w:val="24"/>
          <w:lang w:val="hr-HR"/>
        </w:rPr>
        <w:t>a</w:t>
      </w:r>
      <w:r w:rsidR="004F1F3D" w:rsidRPr="00C422FB">
        <w:rPr>
          <w:sz w:val="24"/>
          <w:szCs w:val="24"/>
          <w:lang w:val="hr-HR"/>
        </w:rPr>
        <w:t xml:space="preserve"> izdan</w:t>
      </w:r>
      <w:r w:rsidRPr="00C422FB">
        <w:rPr>
          <w:sz w:val="24"/>
          <w:szCs w:val="24"/>
          <w:lang w:val="hr-HR"/>
        </w:rPr>
        <w:t xml:space="preserve">a je </w:t>
      </w:r>
      <w:r w:rsidR="004F1F3D" w:rsidRPr="00C422FB">
        <w:rPr>
          <w:sz w:val="24"/>
          <w:szCs w:val="24"/>
          <w:lang w:val="hr-HR"/>
        </w:rPr>
        <w:t>u srpnju 2013. godine uz nepromjenjivi kamatni kupon</w:t>
      </w:r>
      <w:r w:rsidR="006D202A">
        <w:rPr>
          <w:sz w:val="24"/>
          <w:szCs w:val="24"/>
          <w:lang w:val="hr-HR"/>
        </w:rPr>
        <w:t xml:space="preserve"> od</w:t>
      </w:r>
      <w:r w:rsidR="004F1F3D" w:rsidRPr="00C422FB">
        <w:rPr>
          <w:sz w:val="24"/>
          <w:szCs w:val="24"/>
          <w:lang w:val="hr-HR"/>
        </w:rPr>
        <w:t xml:space="preserve"> 5,25% godišnje.</w:t>
      </w:r>
    </w:p>
    <w:p w14:paraId="5B8375DC" w14:textId="77777777" w:rsidR="008B368B" w:rsidRDefault="008B368B" w:rsidP="00C422FB">
      <w:pPr>
        <w:spacing w:before="240" w:after="240" w:line="276" w:lineRule="auto"/>
        <w:jc w:val="both"/>
        <w:rPr>
          <w:sz w:val="24"/>
          <w:szCs w:val="24"/>
          <w:lang w:val="hr-HR"/>
        </w:rPr>
      </w:pPr>
    </w:p>
    <w:p w14:paraId="5D4D63EB" w14:textId="77777777" w:rsidR="008B368B" w:rsidRPr="00C422FB" w:rsidRDefault="008B368B" w:rsidP="00C422FB">
      <w:pPr>
        <w:spacing w:before="240" w:after="240" w:line="276" w:lineRule="auto"/>
        <w:jc w:val="both"/>
        <w:rPr>
          <w:sz w:val="24"/>
          <w:szCs w:val="24"/>
          <w:lang w:val="hr-HR"/>
        </w:rPr>
      </w:pPr>
    </w:p>
    <w:p w14:paraId="7CFF16E5" w14:textId="77777777" w:rsidR="00C73FC7" w:rsidRDefault="00C73FC7" w:rsidP="00B71C90">
      <w:pPr>
        <w:pStyle w:val="Heading2"/>
        <w:numPr>
          <w:ilvl w:val="1"/>
          <w:numId w:val="1"/>
        </w:numPr>
        <w:spacing w:before="240" w:after="240" w:line="276" w:lineRule="auto"/>
        <w:rPr>
          <w:lang w:val="hr-HR"/>
        </w:rPr>
      </w:pPr>
      <w:bookmarkStart w:id="10" w:name="_Toc10032424"/>
      <w:r w:rsidRPr="00A47CC3">
        <w:rPr>
          <w:lang w:val="hr-HR"/>
        </w:rPr>
        <w:t xml:space="preserve">Zaduživanje putem </w:t>
      </w:r>
      <w:r w:rsidR="00F11339" w:rsidRPr="00A47CC3">
        <w:rPr>
          <w:lang w:val="hr-HR"/>
        </w:rPr>
        <w:t xml:space="preserve">dugoročnih </w:t>
      </w:r>
      <w:r w:rsidRPr="00A47CC3">
        <w:rPr>
          <w:lang w:val="hr-HR"/>
        </w:rPr>
        <w:t>kredita</w:t>
      </w:r>
      <w:bookmarkEnd w:id="10"/>
    </w:p>
    <w:p w14:paraId="611E37F1" w14:textId="77777777" w:rsidR="008B368B" w:rsidRPr="008B368B" w:rsidRDefault="008B368B" w:rsidP="00DF23F9">
      <w:pPr>
        <w:rPr>
          <w:lang w:val="hr-HR"/>
        </w:rPr>
      </w:pPr>
    </w:p>
    <w:p w14:paraId="5F54EFFE"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Kredit u iznosu </w:t>
      </w:r>
      <w:r w:rsidR="00F44F8F" w:rsidRPr="00DF23F9">
        <w:rPr>
          <w:rFonts w:asciiTheme="majorHAnsi" w:eastAsiaTheme="majorEastAsia" w:hAnsiTheme="majorHAnsi" w:cstheme="majorBidi"/>
          <w:i/>
          <w:iCs/>
          <w:color w:val="4F81BD" w:themeColor="accent1"/>
          <w:spacing w:val="15"/>
          <w:sz w:val="24"/>
          <w:szCs w:val="24"/>
          <w:lang w:val="hr-HR"/>
        </w:rPr>
        <w:t xml:space="preserve">od </w:t>
      </w:r>
      <w:r w:rsidRPr="00DF23F9">
        <w:rPr>
          <w:rFonts w:asciiTheme="majorHAnsi" w:eastAsiaTheme="majorEastAsia" w:hAnsiTheme="majorHAnsi" w:cstheme="majorBidi"/>
          <w:i/>
          <w:iCs/>
          <w:color w:val="4F81BD" w:themeColor="accent1"/>
          <w:spacing w:val="15"/>
          <w:sz w:val="24"/>
          <w:szCs w:val="24"/>
          <w:lang w:val="hr-HR"/>
        </w:rPr>
        <w:t>200 milijuna eura uz valutnu klauzulu</w:t>
      </w:r>
    </w:p>
    <w:p w14:paraId="5887BC23" w14:textId="38AE0650" w:rsidR="004F1F3D" w:rsidRDefault="006E5738" w:rsidP="00B71C90">
      <w:pPr>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svibnju </w:t>
      </w:r>
      <w:r w:rsidR="005E4CC3">
        <w:rPr>
          <w:sz w:val="24"/>
          <w:szCs w:val="24"/>
          <w:lang w:val="hr-HR"/>
        </w:rPr>
        <w:t xml:space="preserve">2018. godine </w:t>
      </w:r>
      <w:r w:rsidR="004F1F3D" w:rsidRPr="004A7C84">
        <w:rPr>
          <w:sz w:val="24"/>
          <w:szCs w:val="24"/>
          <w:lang w:val="hr-HR"/>
        </w:rPr>
        <w:t xml:space="preserve">zadužila na domaćem financijskom tržištu u kunskoj protuvrijednosti iznosa od 200 milijuna eura uz kamatnu stopu u visini 6-mjesečnog EURIBOR-a </w:t>
      </w:r>
      <w:r w:rsidR="004A7C84">
        <w:rPr>
          <w:sz w:val="24"/>
          <w:szCs w:val="24"/>
          <w:lang w:val="hr-HR"/>
        </w:rPr>
        <w:t>uve</w:t>
      </w:r>
      <w:r w:rsidR="005E4CC3">
        <w:rPr>
          <w:sz w:val="24"/>
          <w:szCs w:val="24"/>
          <w:lang w:val="hr-HR"/>
        </w:rPr>
        <w:t>ć</w:t>
      </w:r>
      <w:r w:rsidR="004A7C84">
        <w:rPr>
          <w:sz w:val="24"/>
          <w:szCs w:val="24"/>
          <w:lang w:val="hr-HR"/>
        </w:rPr>
        <w:t>anu za</w:t>
      </w:r>
      <w:r w:rsidR="004F1F3D" w:rsidRPr="004A7C84">
        <w:rPr>
          <w:sz w:val="24"/>
          <w:szCs w:val="24"/>
          <w:lang w:val="hr-HR"/>
        </w:rPr>
        <w:t xml:space="preserve"> 1,19% godišnje. Glavnica </w:t>
      </w:r>
      <w:r w:rsidR="005E4CC3">
        <w:rPr>
          <w:sz w:val="24"/>
          <w:szCs w:val="24"/>
          <w:lang w:val="hr-HR"/>
        </w:rPr>
        <w:t>po ovom kreditu</w:t>
      </w:r>
      <w:r w:rsidR="004F1F3D" w:rsidRPr="004A7C84">
        <w:rPr>
          <w:sz w:val="24"/>
          <w:szCs w:val="24"/>
          <w:lang w:val="hr-HR"/>
        </w:rPr>
        <w:t xml:space="preserve"> otplatit</w:t>
      </w:r>
      <w:r w:rsidR="005E4CC3">
        <w:rPr>
          <w:sz w:val="24"/>
          <w:szCs w:val="24"/>
          <w:lang w:val="hr-HR"/>
        </w:rPr>
        <w:t xml:space="preserve"> će se</w:t>
      </w:r>
      <w:r w:rsidR="004F1F3D" w:rsidRPr="004A7C84">
        <w:rPr>
          <w:sz w:val="24"/>
          <w:szCs w:val="24"/>
          <w:lang w:val="hr-HR"/>
        </w:rPr>
        <w:t xml:space="preserve"> jednokratno 30. lipnja 2023. </w:t>
      </w:r>
    </w:p>
    <w:p w14:paraId="6A4974E3" w14:textId="77777777" w:rsidR="008B368B" w:rsidRPr="004A7C84" w:rsidRDefault="008B368B" w:rsidP="00B71C90">
      <w:pPr>
        <w:spacing w:before="240" w:line="276" w:lineRule="auto"/>
        <w:jc w:val="both"/>
        <w:rPr>
          <w:sz w:val="24"/>
          <w:szCs w:val="24"/>
          <w:lang w:val="hr-HR"/>
        </w:rPr>
      </w:pPr>
    </w:p>
    <w:p w14:paraId="1F161111"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Kredit u iznosu od 100 milijuna eura uz valutnu klauzulu </w:t>
      </w:r>
    </w:p>
    <w:p w14:paraId="2C998288" w14:textId="1588E06F" w:rsidR="004F1F3D" w:rsidRDefault="00B46856" w:rsidP="00B71C90">
      <w:pPr>
        <w:spacing w:before="240" w:line="276" w:lineRule="auto"/>
        <w:jc w:val="both"/>
        <w:rPr>
          <w:sz w:val="24"/>
          <w:szCs w:val="24"/>
          <w:lang w:val="hr-HR"/>
        </w:rPr>
      </w:pPr>
      <w:r>
        <w:rPr>
          <w:sz w:val="24"/>
          <w:szCs w:val="24"/>
          <w:lang w:val="hr-HR"/>
        </w:rPr>
        <w:t xml:space="preserve">U svibnju 2018. godine </w:t>
      </w:r>
      <w:r w:rsidR="006E5738">
        <w:rPr>
          <w:sz w:val="24"/>
          <w:szCs w:val="24"/>
          <w:lang w:val="hr-HR"/>
        </w:rPr>
        <w:t>RH</w:t>
      </w:r>
      <w:r w:rsidR="004F1F3D" w:rsidRPr="004A7C84">
        <w:rPr>
          <w:sz w:val="24"/>
          <w:szCs w:val="24"/>
          <w:lang w:val="hr-HR"/>
        </w:rPr>
        <w:t xml:space="preserve"> se zadužila na domaćem financijskom tržištu u kunskoj protuvrijednosti iznosa od 100 milijuna eura uz kamatnu stopu u visini 6-mjesečnog EURIBOR-a </w:t>
      </w:r>
      <w:r>
        <w:rPr>
          <w:sz w:val="24"/>
          <w:szCs w:val="24"/>
          <w:lang w:val="hr-HR"/>
        </w:rPr>
        <w:t>uvećanu za</w:t>
      </w:r>
      <w:r w:rsidR="004F1F3D" w:rsidRPr="004A7C84">
        <w:rPr>
          <w:sz w:val="24"/>
          <w:szCs w:val="24"/>
          <w:lang w:val="hr-HR"/>
        </w:rPr>
        <w:t xml:space="preserve"> 1,09% godišnje. Glavnica</w:t>
      </w:r>
      <w:r>
        <w:rPr>
          <w:sz w:val="24"/>
          <w:szCs w:val="24"/>
          <w:lang w:val="hr-HR"/>
        </w:rPr>
        <w:t xml:space="preserve"> po ovom kreditu</w:t>
      </w:r>
      <w:r w:rsidR="004F1F3D" w:rsidRPr="004A7C84">
        <w:rPr>
          <w:sz w:val="24"/>
          <w:szCs w:val="24"/>
          <w:lang w:val="hr-HR"/>
        </w:rPr>
        <w:t xml:space="preserve"> otpla</w:t>
      </w:r>
      <w:r>
        <w:rPr>
          <w:sz w:val="24"/>
          <w:szCs w:val="24"/>
          <w:lang w:val="hr-HR"/>
        </w:rPr>
        <w:t>ćivat će se</w:t>
      </w:r>
      <w:r w:rsidR="004F1F3D" w:rsidRPr="004A7C84">
        <w:rPr>
          <w:sz w:val="24"/>
          <w:szCs w:val="24"/>
          <w:lang w:val="hr-HR"/>
        </w:rPr>
        <w:t xml:space="preserve"> u devet po</w:t>
      </w:r>
      <w:r>
        <w:rPr>
          <w:sz w:val="24"/>
          <w:szCs w:val="24"/>
          <w:lang w:val="hr-HR"/>
        </w:rPr>
        <w:t xml:space="preserve">lugodišnjih rata od kojih prva </w:t>
      </w:r>
      <w:r w:rsidR="004F1F3D" w:rsidRPr="004A7C84">
        <w:rPr>
          <w:sz w:val="24"/>
          <w:szCs w:val="24"/>
          <w:lang w:val="hr-HR"/>
        </w:rPr>
        <w:t>dospijeva 20. prosinca 2019.,</w:t>
      </w:r>
      <w:r w:rsidR="006D202A">
        <w:rPr>
          <w:sz w:val="24"/>
          <w:szCs w:val="24"/>
          <w:lang w:val="hr-HR"/>
        </w:rPr>
        <w:t xml:space="preserve"> a posljednja 20. prosinca 2023</w:t>
      </w:r>
      <w:r w:rsidR="00441180">
        <w:rPr>
          <w:sz w:val="24"/>
          <w:szCs w:val="24"/>
          <w:lang w:val="hr-HR"/>
        </w:rPr>
        <w:t>.</w:t>
      </w:r>
      <w:r w:rsidR="004F1F3D" w:rsidRPr="004A7C84">
        <w:rPr>
          <w:sz w:val="24"/>
          <w:szCs w:val="24"/>
          <w:lang w:val="hr-HR"/>
        </w:rPr>
        <w:t xml:space="preserve"> Prvih sedam rata je u kunskoj protuvrijednosti iznosa od 5 milijuna eura, osma rata je u kunskoj protuvrijednosti iznosa od 30 milijuna eura te deveta u kunskoj protuvrijednosti iznosa od 35 milijuna eura.</w:t>
      </w:r>
    </w:p>
    <w:p w14:paraId="18316E94" w14:textId="5E3A942B" w:rsidR="008B368B" w:rsidRDefault="008B368B" w:rsidP="00B71C90">
      <w:pPr>
        <w:spacing w:before="240" w:line="276" w:lineRule="auto"/>
        <w:jc w:val="both"/>
        <w:rPr>
          <w:sz w:val="24"/>
          <w:szCs w:val="24"/>
          <w:lang w:val="hr-HR"/>
        </w:rPr>
      </w:pPr>
    </w:p>
    <w:p w14:paraId="5BFA4791" w14:textId="77777777" w:rsidR="007F181C" w:rsidRDefault="007F181C" w:rsidP="00B71C90">
      <w:pPr>
        <w:spacing w:before="240" w:line="276" w:lineRule="auto"/>
        <w:jc w:val="both"/>
        <w:rPr>
          <w:sz w:val="24"/>
          <w:szCs w:val="24"/>
          <w:lang w:val="hr-HR"/>
        </w:rPr>
      </w:pPr>
    </w:p>
    <w:p w14:paraId="36BF4E12"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lastRenderedPageBreak/>
        <w:t xml:space="preserve">Kredit u iznosu od 120 milijuna eura uz valutnu klauzulu </w:t>
      </w:r>
    </w:p>
    <w:p w14:paraId="6422DBC8" w14:textId="64F5EEE5" w:rsidR="004F1F3D" w:rsidRDefault="006E5738" w:rsidP="00B71C90">
      <w:pPr>
        <w:tabs>
          <w:tab w:val="left" w:pos="360"/>
        </w:tabs>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svibnju </w:t>
      </w:r>
      <w:r w:rsidR="00106284">
        <w:rPr>
          <w:sz w:val="24"/>
          <w:szCs w:val="24"/>
          <w:lang w:val="hr-HR"/>
        </w:rPr>
        <w:t xml:space="preserve">2018. godine </w:t>
      </w:r>
      <w:r w:rsidR="004F1F3D" w:rsidRPr="004A7C84">
        <w:rPr>
          <w:sz w:val="24"/>
          <w:szCs w:val="24"/>
          <w:lang w:val="hr-HR"/>
        </w:rPr>
        <w:t xml:space="preserve">zadužila na domaćem financijskom tržištu u kunskoj protuvrijednosti iznosa od 120 milijuna eura uz kamatnu stopu u visini 3-mjesečnog EURIBOR-a </w:t>
      </w:r>
      <w:r w:rsidR="00106284">
        <w:rPr>
          <w:sz w:val="24"/>
          <w:szCs w:val="24"/>
          <w:lang w:val="hr-HR"/>
        </w:rPr>
        <w:t>uvećanu</w:t>
      </w:r>
      <w:r w:rsidR="006D202A">
        <w:rPr>
          <w:sz w:val="24"/>
          <w:szCs w:val="24"/>
          <w:lang w:val="hr-HR"/>
        </w:rPr>
        <w:t xml:space="preserve"> za</w:t>
      </w:r>
      <w:r w:rsidR="004F1F3D" w:rsidRPr="004A7C84">
        <w:rPr>
          <w:sz w:val="24"/>
          <w:szCs w:val="24"/>
          <w:lang w:val="hr-HR"/>
        </w:rPr>
        <w:t xml:space="preserve"> 0,85% godišnje. Glavnica </w:t>
      </w:r>
      <w:r w:rsidR="00106284">
        <w:rPr>
          <w:sz w:val="24"/>
          <w:szCs w:val="24"/>
          <w:lang w:val="hr-HR"/>
        </w:rPr>
        <w:t xml:space="preserve">po ovom kreditu </w:t>
      </w:r>
      <w:r w:rsidR="004F1F3D" w:rsidRPr="004A7C84">
        <w:rPr>
          <w:sz w:val="24"/>
          <w:szCs w:val="24"/>
          <w:lang w:val="hr-HR"/>
        </w:rPr>
        <w:t>otplatit</w:t>
      </w:r>
      <w:r w:rsidR="00901AF1">
        <w:rPr>
          <w:sz w:val="24"/>
          <w:szCs w:val="24"/>
          <w:lang w:val="hr-HR"/>
        </w:rPr>
        <w:t xml:space="preserve"> će se</w:t>
      </w:r>
      <w:r w:rsidR="004F1F3D" w:rsidRPr="004A7C84">
        <w:rPr>
          <w:sz w:val="24"/>
          <w:szCs w:val="24"/>
          <w:lang w:val="hr-HR"/>
        </w:rPr>
        <w:t xml:space="preserve"> jednokratno 23. svibnja 2023</w:t>
      </w:r>
      <w:r w:rsidR="00441180">
        <w:rPr>
          <w:sz w:val="24"/>
          <w:szCs w:val="24"/>
          <w:lang w:val="hr-HR"/>
        </w:rPr>
        <w:t>.</w:t>
      </w:r>
    </w:p>
    <w:p w14:paraId="2856804B" w14:textId="77777777" w:rsidR="008B368B" w:rsidRPr="004A7C84" w:rsidRDefault="008B368B" w:rsidP="00B71C90">
      <w:pPr>
        <w:tabs>
          <w:tab w:val="left" w:pos="360"/>
        </w:tabs>
        <w:spacing w:before="240" w:line="276" w:lineRule="auto"/>
        <w:jc w:val="both"/>
        <w:rPr>
          <w:sz w:val="24"/>
          <w:szCs w:val="24"/>
          <w:lang w:val="hr-HR"/>
        </w:rPr>
      </w:pPr>
    </w:p>
    <w:p w14:paraId="198481A9"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Kredit u iznosu od 1 milijarde kuna </w:t>
      </w:r>
    </w:p>
    <w:p w14:paraId="0B6EDDA8" w14:textId="49DAA500" w:rsidR="004F1F3D" w:rsidRDefault="006E5738" w:rsidP="00B71C90">
      <w:pPr>
        <w:tabs>
          <w:tab w:val="left" w:pos="360"/>
        </w:tabs>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prosincu</w:t>
      </w:r>
      <w:r w:rsidR="00106284">
        <w:rPr>
          <w:sz w:val="24"/>
          <w:szCs w:val="24"/>
          <w:lang w:val="hr-HR"/>
        </w:rPr>
        <w:t xml:space="preserve"> 2018. godine </w:t>
      </w:r>
      <w:r w:rsidR="004F1F3D" w:rsidRPr="004A7C84">
        <w:rPr>
          <w:sz w:val="24"/>
          <w:szCs w:val="24"/>
          <w:lang w:val="hr-HR"/>
        </w:rPr>
        <w:t xml:space="preserve">zadužila na domaćem financijskom tržištu u iznosu </w:t>
      </w:r>
      <w:r w:rsidR="00901AF1">
        <w:rPr>
          <w:sz w:val="24"/>
          <w:szCs w:val="24"/>
          <w:lang w:val="hr-HR"/>
        </w:rPr>
        <w:t xml:space="preserve">od </w:t>
      </w:r>
      <w:r w:rsidR="004F1F3D" w:rsidRPr="004A7C84">
        <w:rPr>
          <w:sz w:val="24"/>
          <w:szCs w:val="24"/>
          <w:lang w:val="hr-HR"/>
        </w:rPr>
        <w:t xml:space="preserve">1 milijarde kuna uz fiksnu kamatnu stopu </w:t>
      </w:r>
      <w:r w:rsidR="006D202A">
        <w:rPr>
          <w:sz w:val="24"/>
          <w:szCs w:val="24"/>
          <w:lang w:val="hr-HR"/>
        </w:rPr>
        <w:t xml:space="preserve">od </w:t>
      </w:r>
      <w:r w:rsidR="004F1F3D" w:rsidRPr="004A7C84">
        <w:rPr>
          <w:sz w:val="24"/>
          <w:szCs w:val="24"/>
          <w:lang w:val="hr-HR"/>
        </w:rPr>
        <w:t xml:space="preserve">0,30% godišnje. Glavnica </w:t>
      </w:r>
      <w:r w:rsidR="00106284">
        <w:rPr>
          <w:sz w:val="24"/>
          <w:szCs w:val="24"/>
          <w:lang w:val="hr-HR"/>
        </w:rPr>
        <w:t xml:space="preserve">po ovom kreditu </w:t>
      </w:r>
      <w:r w:rsidR="004F1F3D" w:rsidRPr="004A7C84">
        <w:rPr>
          <w:sz w:val="24"/>
          <w:szCs w:val="24"/>
          <w:lang w:val="hr-HR"/>
        </w:rPr>
        <w:t xml:space="preserve">otplatit </w:t>
      </w:r>
      <w:r w:rsidR="00901AF1" w:rsidRPr="004A7C84">
        <w:rPr>
          <w:sz w:val="24"/>
          <w:szCs w:val="24"/>
          <w:lang w:val="hr-HR"/>
        </w:rPr>
        <w:t xml:space="preserve">će se </w:t>
      </w:r>
      <w:r w:rsidR="004F1F3D" w:rsidRPr="004A7C84">
        <w:rPr>
          <w:sz w:val="24"/>
          <w:szCs w:val="24"/>
          <w:lang w:val="hr-HR"/>
        </w:rPr>
        <w:t xml:space="preserve">jednokratno 30. travnja 2020. </w:t>
      </w:r>
    </w:p>
    <w:p w14:paraId="373A1E6B" w14:textId="77777777" w:rsidR="008B368B" w:rsidRPr="004A7C84" w:rsidRDefault="008B368B" w:rsidP="00B71C90">
      <w:pPr>
        <w:tabs>
          <w:tab w:val="left" w:pos="360"/>
        </w:tabs>
        <w:spacing w:before="240" w:line="276" w:lineRule="auto"/>
        <w:jc w:val="both"/>
        <w:rPr>
          <w:sz w:val="24"/>
          <w:szCs w:val="24"/>
          <w:lang w:val="hr-HR"/>
        </w:rPr>
      </w:pPr>
    </w:p>
    <w:p w14:paraId="4BADC50A"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Kredit u iznosu od 500 milijuna kuna </w:t>
      </w:r>
    </w:p>
    <w:p w14:paraId="646CE620" w14:textId="63F8DAB9" w:rsidR="004F1F3D" w:rsidRDefault="006E5738" w:rsidP="00B71C90">
      <w:pPr>
        <w:tabs>
          <w:tab w:val="left" w:pos="360"/>
        </w:tabs>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prosincu </w:t>
      </w:r>
      <w:r w:rsidR="00A36017">
        <w:rPr>
          <w:sz w:val="24"/>
          <w:szCs w:val="24"/>
          <w:lang w:val="hr-HR"/>
        </w:rPr>
        <w:t xml:space="preserve">2018. godine </w:t>
      </w:r>
      <w:r w:rsidR="004F1F3D" w:rsidRPr="004A7C84">
        <w:rPr>
          <w:sz w:val="24"/>
          <w:szCs w:val="24"/>
          <w:lang w:val="hr-HR"/>
        </w:rPr>
        <w:t xml:space="preserve">zadužila na domaćem financijskom tržištu u iznosu </w:t>
      </w:r>
      <w:r w:rsidR="006D202A">
        <w:rPr>
          <w:sz w:val="24"/>
          <w:szCs w:val="24"/>
          <w:lang w:val="hr-HR"/>
        </w:rPr>
        <w:t xml:space="preserve">od </w:t>
      </w:r>
      <w:r w:rsidR="004F1F3D" w:rsidRPr="004A7C84">
        <w:rPr>
          <w:sz w:val="24"/>
          <w:szCs w:val="24"/>
          <w:lang w:val="hr-HR"/>
        </w:rPr>
        <w:t xml:space="preserve">500 milijuna kuna uz kamatnu stopu u visini prinosa na trezorske zapise na 364 dan uvećanog za 0,69% godišnje. Glavnica </w:t>
      </w:r>
      <w:r w:rsidR="00A36017">
        <w:rPr>
          <w:sz w:val="24"/>
          <w:szCs w:val="24"/>
          <w:lang w:val="hr-HR"/>
        </w:rPr>
        <w:t xml:space="preserve">po ovom kreditu </w:t>
      </w:r>
      <w:r w:rsidR="004F1F3D" w:rsidRPr="004A7C84">
        <w:rPr>
          <w:sz w:val="24"/>
          <w:szCs w:val="24"/>
          <w:lang w:val="hr-HR"/>
        </w:rPr>
        <w:t xml:space="preserve">otplatit </w:t>
      </w:r>
      <w:r w:rsidR="00CE6F18" w:rsidRPr="004A7C84">
        <w:rPr>
          <w:sz w:val="24"/>
          <w:szCs w:val="24"/>
          <w:lang w:val="hr-HR"/>
        </w:rPr>
        <w:t xml:space="preserve">će se </w:t>
      </w:r>
      <w:r w:rsidR="004F1F3D" w:rsidRPr="004A7C84">
        <w:rPr>
          <w:sz w:val="24"/>
          <w:szCs w:val="24"/>
          <w:lang w:val="hr-HR"/>
        </w:rPr>
        <w:t xml:space="preserve">jednokratno 28. prosinca 2021. </w:t>
      </w:r>
    </w:p>
    <w:p w14:paraId="40C53D21" w14:textId="77777777" w:rsidR="008B368B" w:rsidRPr="004A7C84" w:rsidRDefault="008B368B" w:rsidP="00B71C90">
      <w:pPr>
        <w:tabs>
          <w:tab w:val="left" w:pos="360"/>
        </w:tabs>
        <w:spacing w:before="240" w:line="276" w:lineRule="auto"/>
        <w:jc w:val="both"/>
        <w:rPr>
          <w:sz w:val="24"/>
          <w:szCs w:val="24"/>
          <w:lang w:val="hr-HR"/>
        </w:rPr>
      </w:pPr>
    </w:p>
    <w:p w14:paraId="69C6FD38"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Kredit u iznosu od 150 milijuna eura uz valutnu klauzulu </w:t>
      </w:r>
    </w:p>
    <w:p w14:paraId="11ED2C35" w14:textId="5CEBD05C" w:rsidR="004F1F3D" w:rsidRDefault="006E5738" w:rsidP="00B71C90">
      <w:pPr>
        <w:tabs>
          <w:tab w:val="left" w:pos="360"/>
        </w:tabs>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prosincu </w:t>
      </w:r>
      <w:r w:rsidR="00A36017">
        <w:rPr>
          <w:sz w:val="24"/>
          <w:szCs w:val="24"/>
          <w:lang w:val="hr-HR"/>
        </w:rPr>
        <w:t xml:space="preserve">2018. godine </w:t>
      </w:r>
      <w:r w:rsidR="004F1F3D" w:rsidRPr="004A7C84">
        <w:rPr>
          <w:sz w:val="24"/>
          <w:szCs w:val="24"/>
          <w:lang w:val="hr-HR"/>
        </w:rPr>
        <w:t xml:space="preserve">zadužila na domaćem financijskom tržištu u kunskoj protuvrijednosti iznosa od 150 milijuna eura uz kamatnu stopu u visini 6-mjesečnog EURIBOR-a </w:t>
      </w:r>
      <w:r w:rsidR="00A36017">
        <w:rPr>
          <w:sz w:val="24"/>
          <w:szCs w:val="24"/>
          <w:lang w:val="hr-HR"/>
        </w:rPr>
        <w:t>uvećanu za</w:t>
      </w:r>
      <w:r w:rsidR="004F1F3D" w:rsidRPr="004A7C84">
        <w:rPr>
          <w:sz w:val="24"/>
          <w:szCs w:val="24"/>
          <w:lang w:val="hr-HR"/>
        </w:rPr>
        <w:t xml:space="preserve"> 0,75% godišnje. Glavnica</w:t>
      </w:r>
      <w:r w:rsidR="00A36017">
        <w:rPr>
          <w:sz w:val="24"/>
          <w:szCs w:val="24"/>
          <w:lang w:val="hr-HR"/>
        </w:rPr>
        <w:t xml:space="preserve"> po ovom kreditu</w:t>
      </w:r>
      <w:r w:rsidR="004F1F3D" w:rsidRPr="004A7C84">
        <w:rPr>
          <w:sz w:val="24"/>
          <w:szCs w:val="24"/>
          <w:lang w:val="hr-HR"/>
        </w:rPr>
        <w:t xml:space="preserve"> otpla</w:t>
      </w:r>
      <w:r w:rsidR="00A36017">
        <w:rPr>
          <w:sz w:val="24"/>
          <w:szCs w:val="24"/>
          <w:lang w:val="hr-HR"/>
        </w:rPr>
        <w:t>ćivat</w:t>
      </w:r>
      <w:r w:rsidR="004F1F3D" w:rsidRPr="004A7C84">
        <w:rPr>
          <w:sz w:val="24"/>
          <w:szCs w:val="24"/>
          <w:lang w:val="hr-HR"/>
        </w:rPr>
        <w:t xml:space="preserve"> </w:t>
      </w:r>
      <w:r w:rsidR="00CE6F18" w:rsidRPr="004A7C84">
        <w:rPr>
          <w:sz w:val="24"/>
          <w:szCs w:val="24"/>
          <w:lang w:val="hr-HR"/>
        </w:rPr>
        <w:t xml:space="preserve">će se </w:t>
      </w:r>
      <w:r w:rsidR="004F1F3D" w:rsidRPr="004A7C84">
        <w:rPr>
          <w:sz w:val="24"/>
          <w:szCs w:val="24"/>
          <w:lang w:val="hr-HR"/>
        </w:rPr>
        <w:t>u deset jednakih polugodišnjih rata od kojih je prva 30. lipnja 2019., a zadnja 60 mjeseci od prijenosa kredita u otplatu.</w:t>
      </w:r>
    </w:p>
    <w:p w14:paraId="52C59F15" w14:textId="77777777" w:rsidR="008B368B" w:rsidRPr="004A7C84" w:rsidRDefault="008B368B" w:rsidP="00B71C90">
      <w:pPr>
        <w:tabs>
          <w:tab w:val="left" w:pos="360"/>
        </w:tabs>
        <w:spacing w:before="240" w:line="276" w:lineRule="auto"/>
        <w:jc w:val="both"/>
        <w:rPr>
          <w:sz w:val="24"/>
          <w:szCs w:val="24"/>
          <w:lang w:val="hr-HR"/>
        </w:rPr>
      </w:pPr>
    </w:p>
    <w:p w14:paraId="0274BA74" w14:textId="77777777" w:rsidR="00092E82" w:rsidRPr="00DF23F9" w:rsidRDefault="00092E82"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Kredit u iznosu od 450 milijuna kuna </w:t>
      </w:r>
    </w:p>
    <w:p w14:paraId="5321B51A" w14:textId="5DA53B80" w:rsidR="004F1F3D" w:rsidRPr="004A7C84" w:rsidRDefault="006E5738" w:rsidP="00B71C90">
      <w:pPr>
        <w:tabs>
          <w:tab w:val="left" w:pos="360"/>
        </w:tabs>
        <w:spacing w:before="240" w:line="276" w:lineRule="auto"/>
        <w:jc w:val="both"/>
        <w:rPr>
          <w:sz w:val="24"/>
          <w:szCs w:val="24"/>
          <w:lang w:val="hr-HR"/>
        </w:rPr>
      </w:pPr>
      <w:r>
        <w:rPr>
          <w:sz w:val="24"/>
          <w:szCs w:val="24"/>
          <w:lang w:val="hr-HR"/>
        </w:rPr>
        <w:t>RH</w:t>
      </w:r>
      <w:r w:rsidR="004F1F3D" w:rsidRPr="004A7C84">
        <w:rPr>
          <w:sz w:val="24"/>
          <w:szCs w:val="24"/>
          <w:lang w:val="hr-HR"/>
        </w:rPr>
        <w:t xml:space="preserve"> se u prosincu </w:t>
      </w:r>
      <w:r w:rsidR="00E22A1D">
        <w:rPr>
          <w:sz w:val="24"/>
          <w:szCs w:val="24"/>
          <w:lang w:val="hr-HR"/>
        </w:rPr>
        <w:t xml:space="preserve">2018. godine </w:t>
      </w:r>
      <w:r w:rsidR="004F1F3D" w:rsidRPr="004A7C84">
        <w:rPr>
          <w:sz w:val="24"/>
          <w:szCs w:val="24"/>
          <w:lang w:val="hr-HR"/>
        </w:rPr>
        <w:t xml:space="preserve">zadužila na domaćem financijskom tržištu u iznosu </w:t>
      </w:r>
      <w:r w:rsidR="006D202A">
        <w:rPr>
          <w:sz w:val="24"/>
          <w:szCs w:val="24"/>
          <w:lang w:val="hr-HR"/>
        </w:rPr>
        <w:t xml:space="preserve">od </w:t>
      </w:r>
      <w:r w:rsidR="004F1F3D" w:rsidRPr="004A7C84">
        <w:rPr>
          <w:sz w:val="24"/>
          <w:szCs w:val="24"/>
          <w:lang w:val="hr-HR"/>
        </w:rPr>
        <w:t xml:space="preserve">450 milijuna kuna uz fiksnu kamatnu stopu </w:t>
      </w:r>
      <w:r w:rsidR="00416B66">
        <w:rPr>
          <w:sz w:val="24"/>
          <w:szCs w:val="24"/>
          <w:lang w:val="hr-HR"/>
        </w:rPr>
        <w:t xml:space="preserve">od </w:t>
      </w:r>
      <w:r w:rsidR="004F1F3D" w:rsidRPr="004A7C84">
        <w:rPr>
          <w:sz w:val="24"/>
          <w:szCs w:val="24"/>
          <w:lang w:val="hr-HR"/>
        </w:rPr>
        <w:t xml:space="preserve">0,99% godišnje. Glavnica </w:t>
      </w:r>
      <w:r w:rsidR="009E64D7">
        <w:rPr>
          <w:sz w:val="24"/>
          <w:szCs w:val="24"/>
          <w:lang w:val="hr-HR"/>
        </w:rPr>
        <w:t>po ovom kreditu otplaćivat će se</w:t>
      </w:r>
      <w:r w:rsidR="004F1F3D" w:rsidRPr="004A7C84">
        <w:rPr>
          <w:sz w:val="24"/>
          <w:szCs w:val="24"/>
          <w:lang w:val="hr-HR"/>
        </w:rPr>
        <w:t xml:space="preserve"> u tri jednake godišnje rate od kojih prva dospijeva 21.</w:t>
      </w:r>
      <w:r w:rsidR="00CE6F18">
        <w:rPr>
          <w:sz w:val="24"/>
          <w:szCs w:val="24"/>
          <w:lang w:val="hr-HR"/>
        </w:rPr>
        <w:t xml:space="preserve"> siječnja </w:t>
      </w:r>
      <w:r w:rsidR="004F1F3D" w:rsidRPr="004A7C84">
        <w:rPr>
          <w:sz w:val="24"/>
          <w:szCs w:val="24"/>
          <w:lang w:val="hr-HR"/>
        </w:rPr>
        <w:t>2020., a posljednja 21.</w:t>
      </w:r>
      <w:r w:rsidR="00CE6F18">
        <w:rPr>
          <w:sz w:val="24"/>
          <w:szCs w:val="24"/>
          <w:lang w:val="hr-HR"/>
        </w:rPr>
        <w:t xml:space="preserve"> siječnja </w:t>
      </w:r>
      <w:r w:rsidR="004F1F3D" w:rsidRPr="004A7C84">
        <w:rPr>
          <w:sz w:val="24"/>
          <w:szCs w:val="24"/>
          <w:lang w:val="hr-HR"/>
        </w:rPr>
        <w:t xml:space="preserve">2022. </w:t>
      </w:r>
    </w:p>
    <w:p w14:paraId="4F2D92CB" w14:textId="77777777" w:rsidR="00092E82" w:rsidRPr="004A7C84" w:rsidRDefault="00092E82" w:rsidP="00B71C90">
      <w:pPr>
        <w:spacing w:before="240" w:line="276" w:lineRule="auto"/>
        <w:jc w:val="both"/>
        <w:rPr>
          <w:lang w:val="hr-HR"/>
        </w:rPr>
      </w:pPr>
    </w:p>
    <w:p w14:paraId="22655941" w14:textId="77777777" w:rsidR="006B2F1F" w:rsidRPr="00025326" w:rsidRDefault="006B2F1F" w:rsidP="00B71C90">
      <w:pPr>
        <w:spacing w:before="240" w:line="276" w:lineRule="auto"/>
        <w:rPr>
          <w:sz w:val="24"/>
          <w:szCs w:val="24"/>
          <w:highlight w:val="yellow"/>
          <w:lang w:val="hr-HR"/>
        </w:rPr>
      </w:pPr>
      <w:r w:rsidRPr="00025326">
        <w:rPr>
          <w:sz w:val="24"/>
          <w:szCs w:val="24"/>
          <w:highlight w:val="yellow"/>
          <w:lang w:val="hr-HR"/>
        </w:rPr>
        <w:br w:type="page"/>
      </w:r>
    </w:p>
    <w:p w14:paraId="251DCE7C" w14:textId="77777777" w:rsidR="00822107" w:rsidRPr="00D26228" w:rsidRDefault="007413F9" w:rsidP="00B71C90">
      <w:pPr>
        <w:pStyle w:val="ListParagraph"/>
        <w:numPr>
          <w:ilvl w:val="0"/>
          <w:numId w:val="1"/>
        </w:numPr>
        <w:spacing w:before="240" w:line="276" w:lineRule="auto"/>
        <w:rPr>
          <w:rFonts w:asciiTheme="majorHAnsi" w:eastAsiaTheme="majorEastAsia" w:hAnsiTheme="majorHAnsi" w:cstheme="majorBidi"/>
          <w:b/>
          <w:bCs/>
          <w:color w:val="365F91" w:themeColor="accent1" w:themeShade="BF"/>
          <w:sz w:val="28"/>
          <w:szCs w:val="28"/>
          <w:lang w:val="hr-HR"/>
        </w:rPr>
      </w:pPr>
      <w:bookmarkStart w:id="11" w:name="_Toc10032425"/>
      <w:r w:rsidRPr="00D26228">
        <w:rPr>
          <w:rStyle w:val="Heading1Char"/>
          <w:lang w:val="hr-HR"/>
        </w:rPr>
        <w:lastRenderedPageBreak/>
        <w:t>DRŽAVNI DUG U RAZDOBLJU 201</w:t>
      </w:r>
      <w:r w:rsidR="00B90E36" w:rsidRPr="00D26228">
        <w:rPr>
          <w:rStyle w:val="Heading1Char"/>
          <w:lang w:val="hr-HR"/>
        </w:rPr>
        <w:t>3</w:t>
      </w:r>
      <w:r w:rsidRPr="00D26228">
        <w:rPr>
          <w:rStyle w:val="Heading1Char"/>
          <w:lang w:val="hr-HR"/>
        </w:rPr>
        <w:t>. - 201</w:t>
      </w:r>
      <w:r w:rsidR="00B90E36" w:rsidRPr="00D26228">
        <w:rPr>
          <w:rStyle w:val="Heading1Char"/>
          <w:lang w:val="hr-HR"/>
        </w:rPr>
        <w:t>8</w:t>
      </w:r>
      <w:r w:rsidRPr="00D26228">
        <w:rPr>
          <w:rStyle w:val="Heading1Char"/>
          <w:lang w:val="hr-HR"/>
        </w:rPr>
        <w:t>.</w:t>
      </w:r>
      <w:bookmarkEnd w:id="11"/>
      <w:r w:rsidRPr="00D26228">
        <w:rPr>
          <w:rStyle w:val="Heading1Char"/>
          <w:lang w:val="hr-HR"/>
        </w:rPr>
        <w:t xml:space="preserve"> </w:t>
      </w:r>
    </w:p>
    <w:p w14:paraId="0387238C" w14:textId="77777777" w:rsidR="00D26228" w:rsidRDefault="00D26228" w:rsidP="0054741A">
      <w:pPr>
        <w:spacing w:before="240" w:line="276" w:lineRule="auto"/>
        <w:jc w:val="both"/>
        <w:rPr>
          <w:sz w:val="24"/>
          <w:szCs w:val="24"/>
          <w:lang w:val="hr-HR"/>
        </w:rPr>
      </w:pPr>
      <w:r w:rsidRPr="000526C5">
        <w:rPr>
          <w:sz w:val="24"/>
          <w:szCs w:val="24"/>
          <w:lang w:val="hr-HR"/>
        </w:rPr>
        <w:t xml:space="preserve">U nastavku je iznesena detaljna struktura i obilježja </w:t>
      </w:r>
      <w:r w:rsidR="00B71C90">
        <w:rPr>
          <w:sz w:val="24"/>
          <w:szCs w:val="24"/>
          <w:lang w:val="hr-HR"/>
        </w:rPr>
        <w:t>državnog duga</w:t>
      </w:r>
      <w:r w:rsidRPr="000526C5">
        <w:rPr>
          <w:sz w:val="24"/>
          <w:szCs w:val="24"/>
          <w:lang w:val="hr-HR"/>
        </w:rPr>
        <w:t xml:space="preserve"> kao referentno polazište, koje će realizacijom planiranog računa financiranja zadržati i/ili unaprijediti sva bitna obilježja ukupnog portfelja javnog duga te pri tom minimizirati negativne učinke globalnih kretanja.</w:t>
      </w:r>
    </w:p>
    <w:p w14:paraId="726B63AF" w14:textId="77777777" w:rsidR="00B71C90" w:rsidRDefault="00B71C90" w:rsidP="0054741A">
      <w:pPr>
        <w:spacing w:before="240" w:line="276" w:lineRule="auto"/>
        <w:jc w:val="both"/>
        <w:rPr>
          <w:sz w:val="24"/>
          <w:szCs w:val="24"/>
          <w:lang w:val="hr-HR"/>
        </w:rPr>
      </w:pPr>
      <w:r w:rsidRPr="00B71C90">
        <w:rPr>
          <w:sz w:val="24"/>
          <w:szCs w:val="24"/>
          <w:lang w:val="hr-HR"/>
        </w:rPr>
        <w:t xml:space="preserve">Državni dug u ovom dokumentu predstavlja dio javnog duga koji se izravno podmiruje iz državnog proračuna, a čine ga obveze po sljedećim instrumentima: obveznice, trezorski zapisi, krediti i zajmovi. </w:t>
      </w:r>
    </w:p>
    <w:p w14:paraId="1CDC28C3" w14:textId="77777777" w:rsidR="008B368B" w:rsidRDefault="008B368B" w:rsidP="0054741A">
      <w:pPr>
        <w:spacing w:before="240" w:line="276" w:lineRule="auto"/>
        <w:jc w:val="both"/>
        <w:rPr>
          <w:sz w:val="24"/>
          <w:szCs w:val="24"/>
          <w:lang w:val="hr-HR"/>
        </w:rPr>
      </w:pPr>
    </w:p>
    <w:p w14:paraId="451481CD" w14:textId="77777777" w:rsidR="008B368B" w:rsidRPr="00B71C90" w:rsidRDefault="008B368B" w:rsidP="0054741A">
      <w:pPr>
        <w:spacing w:before="240" w:line="276" w:lineRule="auto"/>
        <w:jc w:val="both"/>
        <w:rPr>
          <w:sz w:val="24"/>
          <w:szCs w:val="24"/>
          <w:lang w:val="hr-HR"/>
        </w:rPr>
      </w:pPr>
    </w:p>
    <w:p w14:paraId="3EC481D2" w14:textId="77777777" w:rsidR="00925806" w:rsidRPr="00FE2275" w:rsidRDefault="007413F9" w:rsidP="00F85C06">
      <w:pPr>
        <w:pStyle w:val="Heading2"/>
        <w:numPr>
          <w:ilvl w:val="1"/>
          <w:numId w:val="1"/>
        </w:numPr>
        <w:spacing w:before="240" w:line="276" w:lineRule="auto"/>
        <w:rPr>
          <w:lang w:val="hr-HR"/>
        </w:rPr>
      </w:pPr>
      <w:bookmarkStart w:id="12" w:name="_Toc10032426"/>
      <w:r w:rsidRPr="00FE2275">
        <w:rPr>
          <w:lang w:val="hr-HR"/>
        </w:rPr>
        <w:t>Valutna struktura državnog duga</w:t>
      </w:r>
      <w:bookmarkEnd w:id="12"/>
    </w:p>
    <w:p w14:paraId="13B521CB" w14:textId="09770A37" w:rsidR="000526C5" w:rsidRPr="00DB063B" w:rsidRDefault="000526C5" w:rsidP="00DB063B">
      <w:pPr>
        <w:spacing w:before="240" w:line="276" w:lineRule="auto"/>
        <w:jc w:val="both"/>
        <w:rPr>
          <w:sz w:val="24"/>
          <w:szCs w:val="24"/>
          <w:lang w:val="hr-HR"/>
        </w:rPr>
      </w:pPr>
      <w:r w:rsidRPr="00DB063B">
        <w:rPr>
          <w:sz w:val="24"/>
          <w:szCs w:val="24"/>
          <w:lang w:val="hr-HR"/>
        </w:rPr>
        <w:t xml:space="preserve">Valutna struktura </w:t>
      </w:r>
      <w:r w:rsidR="00441180">
        <w:rPr>
          <w:sz w:val="24"/>
          <w:szCs w:val="24"/>
          <w:lang w:val="hr-HR"/>
        </w:rPr>
        <w:t xml:space="preserve">državnog </w:t>
      </w:r>
      <w:r w:rsidRPr="00DB063B">
        <w:rPr>
          <w:sz w:val="24"/>
          <w:szCs w:val="24"/>
          <w:lang w:val="hr-HR"/>
        </w:rPr>
        <w:t xml:space="preserve">duga </w:t>
      </w:r>
      <w:r w:rsidR="00EF101C">
        <w:rPr>
          <w:sz w:val="24"/>
          <w:szCs w:val="24"/>
          <w:lang w:val="hr-HR"/>
        </w:rPr>
        <w:t>na dan 31. prosinca 2018.</w:t>
      </w:r>
      <w:r w:rsidRPr="00DB063B">
        <w:rPr>
          <w:sz w:val="24"/>
          <w:szCs w:val="24"/>
          <w:lang w:val="hr-HR"/>
        </w:rPr>
        <w:t xml:space="preserve"> prikazana je </w:t>
      </w:r>
      <w:r w:rsidR="00EF101C">
        <w:rPr>
          <w:sz w:val="24"/>
          <w:szCs w:val="24"/>
          <w:lang w:val="hr-HR"/>
        </w:rPr>
        <w:t>G</w:t>
      </w:r>
      <w:r w:rsidRPr="00DB063B">
        <w:rPr>
          <w:sz w:val="24"/>
          <w:szCs w:val="24"/>
          <w:lang w:val="hr-HR"/>
        </w:rPr>
        <w:t xml:space="preserve">rafikonom </w:t>
      </w:r>
      <w:r w:rsidR="00FE2275" w:rsidRPr="00DB063B">
        <w:rPr>
          <w:sz w:val="24"/>
          <w:szCs w:val="24"/>
          <w:lang w:val="hr-HR"/>
        </w:rPr>
        <w:t>2</w:t>
      </w:r>
      <w:r w:rsidRPr="00DB063B">
        <w:rPr>
          <w:sz w:val="24"/>
          <w:szCs w:val="24"/>
          <w:lang w:val="hr-HR"/>
        </w:rPr>
        <w:t xml:space="preserve">. te pokazuje </w:t>
      </w:r>
      <w:r w:rsidR="00DE51D6">
        <w:rPr>
          <w:sz w:val="24"/>
          <w:szCs w:val="24"/>
          <w:lang w:val="hr-HR"/>
        </w:rPr>
        <w:t xml:space="preserve">kako je značajan dio duga denominiran u stranoj valuti pri čemu se na </w:t>
      </w:r>
      <w:r w:rsidRPr="00DB063B">
        <w:rPr>
          <w:sz w:val="24"/>
          <w:szCs w:val="24"/>
          <w:lang w:val="hr-HR"/>
        </w:rPr>
        <w:t xml:space="preserve">dug denominiran u eurima </w:t>
      </w:r>
      <w:r w:rsidR="00DE51D6">
        <w:rPr>
          <w:sz w:val="24"/>
          <w:szCs w:val="24"/>
          <w:lang w:val="hr-HR"/>
        </w:rPr>
        <w:t>odnosi</w:t>
      </w:r>
      <w:r w:rsidRPr="00DB063B">
        <w:rPr>
          <w:sz w:val="24"/>
          <w:szCs w:val="24"/>
          <w:lang w:val="hr-HR"/>
        </w:rPr>
        <w:t xml:space="preserve"> 62,4%</w:t>
      </w:r>
      <w:r w:rsidR="00DE51D6">
        <w:rPr>
          <w:sz w:val="24"/>
          <w:szCs w:val="24"/>
          <w:lang w:val="hr-HR"/>
        </w:rPr>
        <w:t>,</w:t>
      </w:r>
      <w:r w:rsidRPr="00DB063B">
        <w:rPr>
          <w:sz w:val="24"/>
          <w:szCs w:val="24"/>
          <w:lang w:val="hr-HR"/>
        </w:rPr>
        <w:t xml:space="preserve"> </w:t>
      </w:r>
      <w:r w:rsidR="00DE51D6">
        <w:rPr>
          <w:sz w:val="24"/>
          <w:szCs w:val="24"/>
          <w:lang w:val="hr-HR"/>
        </w:rPr>
        <w:t>na dug denominiran u kunama 33,5%, a na dug denominiran u dolarima 4,1% ukupnog državnog duga. D</w:t>
      </w:r>
      <w:r w:rsidRPr="00DB063B">
        <w:rPr>
          <w:sz w:val="24"/>
          <w:szCs w:val="24"/>
          <w:lang w:val="hr-HR"/>
        </w:rPr>
        <w:t>ug denominiran u eurima jed</w:t>
      </w:r>
      <w:r w:rsidR="00DE51D6">
        <w:rPr>
          <w:sz w:val="24"/>
          <w:szCs w:val="24"/>
          <w:lang w:val="hr-HR"/>
        </w:rPr>
        <w:t>nim dijelom</w:t>
      </w:r>
      <w:r w:rsidRPr="00DB063B">
        <w:rPr>
          <w:sz w:val="24"/>
          <w:szCs w:val="24"/>
          <w:lang w:val="hr-HR"/>
        </w:rPr>
        <w:t xml:space="preserve"> se odnosi na dug koji se izražava u eurima, a plativ je u kunama </w:t>
      </w:r>
      <w:r w:rsidR="00B205CF">
        <w:rPr>
          <w:sz w:val="24"/>
          <w:szCs w:val="24"/>
          <w:lang w:val="hr-HR"/>
        </w:rPr>
        <w:t>te</w:t>
      </w:r>
      <w:r w:rsidRPr="00DB063B">
        <w:rPr>
          <w:sz w:val="24"/>
          <w:szCs w:val="24"/>
          <w:lang w:val="hr-HR"/>
        </w:rPr>
        <w:t xml:space="preserve"> čini 17,8% ukupnog </w:t>
      </w:r>
      <w:r w:rsidR="00DE51D6">
        <w:rPr>
          <w:sz w:val="24"/>
          <w:szCs w:val="24"/>
          <w:lang w:val="hr-HR"/>
        </w:rPr>
        <w:t xml:space="preserve">državnog </w:t>
      </w:r>
      <w:r w:rsidRPr="00DB063B">
        <w:rPr>
          <w:sz w:val="24"/>
          <w:szCs w:val="24"/>
          <w:lang w:val="hr-HR"/>
        </w:rPr>
        <w:t xml:space="preserve">duga. </w:t>
      </w:r>
    </w:p>
    <w:p w14:paraId="26DE2DAF" w14:textId="77777777" w:rsidR="007413F9" w:rsidRPr="00FE2275" w:rsidRDefault="007413F9" w:rsidP="007413F9">
      <w:pPr>
        <w:pStyle w:val="Caption"/>
        <w:spacing w:before="240" w:line="276" w:lineRule="auto"/>
        <w:rPr>
          <w:i/>
          <w:sz w:val="24"/>
          <w:lang w:val="hr-HR"/>
        </w:rPr>
      </w:pPr>
      <w:bookmarkStart w:id="13" w:name="_Toc10032460"/>
      <w:r w:rsidRPr="00FE2275">
        <w:rPr>
          <w:i/>
          <w:sz w:val="24"/>
          <w:lang w:val="hr-HR"/>
        </w:rPr>
        <w:t xml:space="preserve">Grafikon </w:t>
      </w:r>
      <w:r w:rsidRPr="00FE2275">
        <w:rPr>
          <w:i/>
          <w:sz w:val="24"/>
          <w:lang w:val="hr-HR"/>
        </w:rPr>
        <w:fldChar w:fldCharType="begin"/>
      </w:r>
      <w:r w:rsidRPr="00FE2275">
        <w:rPr>
          <w:i/>
          <w:sz w:val="24"/>
          <w:lang w:val="hr-HR"/>
        </w:rPr>
        <w:instrText xml:space="preserve"> SEQ Grafikon \* ARABIC </w:instrText>
      </w:r>
      <w:r w:rsidRPr="00FE2275">
        <w:rPr>
          <w:i/>
          <w:sz w:val="24"/>
          <w:lang w:val="hr-HR"/>
        </w:rPr>
        <w:fldChar w:fldCharType="separate"/>
      </w:r>
      <w:r w:rsidR="00CE0BC8">
        <w:rPr>
          <w:i/>
          <w:noProof/>
          <w:sz w:val="24"/>
          <w:lang w:val="hr-HR"/>
        </w:rPr>
        <w:t>2</w:t>
      </w:r>
      <w:r w:rsidRPr="00FE2275">
        <w:rPr>
          <w:i/>
          <w:sz w:val="24"/>
          <w:lang w:val="hr-HR"/>
        </w:rPr>
        <w:fldChar w:fldCharType="end"/>
      </w:r>
      <w:r w:rsidRPr="00FE2275">
        <w:rPr>
          <w:i/>
          <w:sz w:val="24"/>
          <w:lang w:val="hr-HR"/>
        </w:rPr>
        <w:t>: Valutna struktura državnog duga na dan 31. prosinca 201</w:t>
      </w:r>
      <w:r w:rsidR="00FE2275" w:rsidRPr="00FE2275">
        <w:rPr>
          <w:i/>
          <w:sz w:val="24"/>
          <w:lang w:val="hr-HR"/>
        </w:rPr>
        <w:t>8</w:t>
      </w:r>
      <w:r w:rsidRPr="00FE2275">
        <w:rPr>
          <w:i/>
          <w:sz w:val="24"/>
          <w:lang w:val="hr-HR"/>
        </w:rPr>
        <w:t>.</w:t>
      </w:r>
      <w:bookmarkEnd w:id="13"/>
    </w:p>
    <w:p w14:paraId="348B4A3F" w14:textId="77777777" w:rsidR="007413F9" w:rsidRDefault="00FE2275" w:rsidP="0007582E">
      <w:pPr>
        <w:rPr>
          <w:highlight w:val="yellow"/>
          <w:lang w:val="hr-HR"/>
        </w:rPr>
      </w:pPr>
      <w:r>
        <w:rPr>
          <w:noProof/>
          <w:lang w:val="hr-HR" w:eastAsia="hr-HR"/>
        </w:rPr>
        <w:drawing>
          <wp:inline distT="0" distB="0" distL="0" distR="0" wp14:anchorId="627AB2E5" wp14:editId="182DE226">
            <wp:extent cx="4439797" cy="2677424"/>
            <wp:effectExtent l="0" t="0" r="0" b="889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5738" cy="2687037"/>
                    </a:xfrm>
                    <a:prstGeom prst="rect">
                      <a:avLst/>
                    </a:prstGeom>
                    <a:noFill/>
                  </pic:spPr>
                </pic:pic>
              </a:graphicData>
            </a:graphic>
          </wp:inline>
        </w:drawing>
      </w:r>
    </w:p>
    <w:p w14:paraId="5EAC2B27" w14:textId="1E72FCC7" w:rsidR="00FE2275" w:rsidRPr="00AD6B1B" w:rsidRDefault="00FE2275" w:rsidP="00FE2275">
      <w:pPr>
        <w:spacing w:before="240" w:line="276" w:lineRule="auto"/>
        <w:jc w:val="both"/>
        <w:rPr>
          <w:rFonts w:cs="Times New Roman"/>
          <w:sz w:val="24"/>
          <w:szCs w:val="24"/>
          <w:lang w:val="hr-HR"/>
        </w:rPr>
      </w:pPr>
      <w:r w:rsidRPr="00AD6B1B">
        <w:rPr>
          <w:rFonts w:cs="Times New Roman"/>
          <w:sz w:val="24"/>
          <w:szCs w:val="24"/>
          <w:lang w:val="hr-HR"/>
        </w:rPr>
        <w:t xml:space="preserve">Grafikon 3. prikazuje kretanje valutne strukture </w:t>
      </w:r>
      <w:r w:rsidR="00B34116">
        <w:rPr>
          <w:rFonts w:cs="Times New Roman"/>
          <w:sz w:val="24"/>
          <w:szCs w:val="24"/>
          <w:lang w:val="hr-HR"/>
        </w:rPr>
        <w:t xml:space="preserve">državnog </w:t>
      </w:r>
      <w:r w:rsidRPr="00AD6B1B">
        <w:rPr>
          <w:rFonts w:cs="Times New Roman"/>
          <w:sz w:val="24"/>
          <w:szCs w:val="24"/>
          <w:lang w:val="hr-HR"/>
        </w:rPr>
        <w:t>duga u razdoblju 2013. - 2018.</w:t>
      </w:r>
      <w:r w:rsidR="00B34116">
        <w:rPr>
          <w:rFonts w:cs="Times New Roman"/>
          <w:sz w:val="24"/>
          <w:szCs w:val="24"/>
          <w:lang w:val="hr-HR"/>
        </w:rPr>
        <w:t xml:space="preserve"> </w:t>
      </w:r>
      <w:r w:rsidR="00B205CF">
        <w:rPr>
          <w:rFonts w:cs="Times New Roman"/>
          <w:sz w:val="24"/>
          <w:szCs w:val="24"/>
          <w:lang w:val="hr-HR"/>
        </w:rPr>
        <w:t>U 2018. u</w:t>
      </w:r>
      <w:r w:rsidRPr="00AD6B1B">
        <w:rPr>
          <w:rFonts w:cs="Times New Roman"/>
          <w:sz w:val="24"/>
          <w:szCs w:val="24"/>
          <w:lang w:val="hr-HR"/>
        </w:rPr>
        <w:t xml:space="preserve">dio duga u kunama </w:t>
      </w:r>
      <w:r w:rsidR="00CE232F">
        <w:rPr>
          <w:rFonts w:cs="Times New Roman"/>
          <w:sz w:val="24"/>
          <w:szCs w:val="24"/>
          <w:lang w:val="hr-HR"/>
        </w:rPr>
        <w:t xml:space="preserve">u ukupnom državnom dugu </w:t>
      </w:r>
      <w:r w:rsidRPr="00AD6B1B">
        <w:rPr>
          <w:rFonts w:cs="Times New Roman"/>
          <w:sz w:val="24"/>
          <w:szCs w:val="24"/>
          <w:lang w:val="hr-HR"/>
        </w:rPr>
        <w:t>poveća</w:t>
      </w:r>
      <w:r w:rsidR="00C01887">
        <w:rPr>
          <w:rFonts w:cs="Times New Roman"/>
          <w:sz w:val="24"/>
          <w:szCs w:val="24"/>
          <w:lang w:val="hr-HR"/>
        </w:rPr>
        <w:t>o se u odnosu na 2017. godinu</w:t>
      </w:r>
      <w:r w:rsidR="00CE232F">
        <w:rPr>
          <w:rFonts w:cs="Times New Roman"/>
          <w:sz w:val="24"/>
          <w:szCs w:val="24"/>
          <w:lang w:val="hr-HR"/>
        </w:rPr>
        <w:t xml:space="preserve">, </w:t>
      </w:r>
      <w:r w:rsidRPr="00AD6B1B">
        <w:rPr>
          <w:rFonts w:cs="Times New Roman"/>
          <w:sz w:val="24"/>
          <w:szCs w:val="24"/>
          <w:lang w:val="hr-HR"/>
        </w:rPr>
        <w:t>s</w:t>
      </w:r>
      <w:r w:rsidR="00CE232F">
        <w:rPr>
          <w:rFonts w:cs="Times New Roman"/>
          <w:sz w:val="24"/>
          <w:szCs w:val="24"/>
          <w:lang w:val="hr-HR"/>
        </w:rPr>
        <w:t xml:space="preserve"> </w:t>
      </w:r>
      <w:r w:rsidR="00C01887">
        <w:rPr>
          <w:rFonts w:cs="Times New Roman"/>
          <w:sz w:val="24"/>
          <w:szCs w:val="24"/>
          <w:lang w:val="hr-HR"/>
        </w:rPr>
        <w:t>31,3</w:t>
      </w:r>
      <w:r w:rsidRPr="00AD6B1B">
        <w:rPr>
          <w:rFonts w:cs="Times New Roman"/>
          <w:sz w:val="24"/>
          <w:szCs w:val="24"/>
          <w:lang w:val="hr-HR"/>
        </w:rPr>
        <w:t>%</w:t>
      </w:r>
      <w:r w:rsidR="00CE232F">
        <w:rPr>
          <w:rFonts w:cs="Times New Roman"/>
          <w:sz w:val="24"/>
          <w:szCs w:val="24"/>
          <w:lang w:val="hr-HR"/>
        </w:rPr>
        <w:t xml:space="preserve"> </w:t>
      </w:r>
      <w:r w:rsidRPr="00AD6B1B">
        <w:rPr>
          <w:rFonts w:cs="Times New Roman"/>
          <w:sz w:val="24"/>
          <w:szCs w:val="24"/>
          <w:lang w:val="hr-HR"/>
        </w:rPr>
        <w:t>na 33,5%</w:t>
      </w:r>
      <w:r w:rsidR="00CE232F">
        <w:rPr>
          <w:rFonts w:cs="Times New Roman"/>
          <w:sz w:val="24"/>
          <w:szCs w:val="24"/>
          <w:lang w:val="hr-HR"/>
        </w:rPr>
        <w:t>. To povećanje je</w:t>
      </w:r>
      <w:r w:rsidR="00831D7F">
        <w:rPr>
          <w:rFonts w:cs="Times New Roman"/>
          <w:sz w:val="24"/>
          <w:szCs w:val="24"/>
          <w:lang w:val="hr-HR"/>
        </w:rPr>
        <w:t xml:space="preserve"> rezultat orijentacije zaduživanja</w:t>
      </w:r>
      <w:r w:rsidR="00B205CF">
        <w:rPr>
          <w:rFonts w:cs="Times New Roman"/>
          <w:sz w:val="24"/>
          <w:szCs w:val="24"/>
          <w:lang w:val="hr-HR"/>
        </w:rPr>
        <w:t xml:space="preserve"> RH</w:t>
      </w:r>
      <w:r w:rsidR="00831D7F">
        <w:rPr>
          <w:rFonts w:cs="Times New Roman"/>
          <w:sz w:val="24"/>
          <w:szCs w:val="24"/>
          <w:lang w:val="hr-HR"/>
        </w:rPr>
        <w:t xml:space="preserve"> na domaćem tržištu </w:t>
      </w:r>
      <w:r w:rsidR="00B205CF">
        <w:rPr>
          <w:rFonts w:cs="Times New Roman"/>
          <w:sz w:val="24"/>
          <w:szCs w:val="24"/>
          <w:lang w:val="hr-HR"/>
        </w:rPr>
        <w:t xml:space="preserve">kapitala </w:t>
      </w:r>
      <w:r w:rsidR="00831D7F">
        <w:rPr>
          <w:rFonts w:cs="Times New Roman"/>
          <w:sz w:val="24"/>
          <w:szCs w:val="24"/>
          <w:lang w:val="hr-HR"/>
        </w:rPr>
        <w:t>u kunama</w:t>
      </w:r>
      <w:r w:rsidR="00734873">
        <w:rPr>
          <w:rFonts w:cs="Times New Roman"/>
          <w:sz w:val="24"/>
          <w:szCs w:val="24"/>
          <w:lang w:val="hr-HR"/>
        </w:rPr>
        <w:t>,</w:t>
      </w:r>
      <w:r w:rsidR="00B34116">
        <w:rPr>
          <w:rFonts w:cs="Times New Roman"/>
          <w:sz w:val="24"/>
          <w:szCs w:val="24"/>
          <w:lang w:val="hr-HR"/>
        </w:rPr>
        <w:t xml:space="preserve"> </w:t>
      </w:r>
      <w:r w:rsidR="00B34116" w:rsidRPr="00734873">
        <w:rPr>
          <w:sz w:val="24"/>
          <w:szCs w:val="24"/>
          <w:lang w:val="hr-HR"/>
        </w:rPr>
        <w:t xml:space="preserve">što je ujedno pridonijelo razvoju dugoročne krivulje prinosa u </w:t>
      </w:r>
      <w:r w:rsidR="00B34116" w:rsidRPr="00734873">
        <w:rPr>
          <w:sz w:val="24"/>
          <w:szCs w:val="24"/>
          <w:lang w:val="hr-HR"/>
        </w:rPr>
        <w:lastRenderedPageBreak/>
        <w:t>nacionalnoj valuti</w:t>
      </w:r>
      <w:r w:rsidR="00B34116" w:rsidRPr="00DB063B">
        <w:rPr>
          <w:sz w:val="24"/>
          <w:szCs w:val="24"/>
          <w:lang w:val="hr-HR"/>
        </w:rPr>
        <w:t xml:space="preserve">. </w:t>
      </w:r>
      <w:r w:rsidR="00CE232F">
        <w:rPr>
          <w:sz w:val="24"/>
          <w:szCs w:val="24"/>
          <w:lang w:val="hr-HR"/>
        </w:rPr>
        <w:t>U</w:t>
      </w:r>
      <w:r w:rsidRPr="00AD6B1B">
        <w:rPr>
          <w:rFonts w:cs="Times New Roman"/>
          <w:sz w:val="24"/>
          <w:szCs w:val="24"/>
          <w:lang w:val="hr-HR"/>
        </w:rPr>
        <w:t xml:space="preserve">dio duga </w:t>
      </w:r>
      <w:r w:rsidR="00734873">
        <w:rPr>
          <w:rFonts w:cs="Times New Roman"/>
          <w:sz w:val="24"/>
          <w:szCs w:val="24"/>
          <w:lang w:val="hr-HR"/>
        </w:rPr>
        <w:t xml:space="preserve">u ukupnom državnom dugu </w:t>
      </w:r>
      <w:r w:rsidRPr="00AD6B1B">
        <w:rPr>
          <w:rFonts w:cs="Times New Roman"/>
          <w:sz w:val="24"/>
          <w:szCs w:val="24"/>
          <w:lang w:val="hr-HR"/>
        </w:rPr>
        <w:t xml:space="preserve">denominiran u eurima smanjio se </w:t>
      </w:r>
      <w:r w:rsidR="007F581C">
        <w:rPr>
          <w:rFonts w:cs="Times New Roman"/>
          <w:sz w:val="24"/>
          <w:szCs w:val="24"/>
          <w:lang w:val="hr-HR"/>
        </w:rPr>
        <w:t>u 2018</w:t>
      </w:r>
      <w:r w:rsidR="005774A3">
        <w:rPr>
          <w:rFonts w:cs="Times New Roman"/>
          <w:sz w:val="24"/>
          <w:szCs w:val="24"/>
          <w:lang w:val="hr-HR"/>
        </w:rPr>
        <w:t>.</w:t>
      </w:r>
      <w:r w:rsidR="007F581C">
        <w:rPr>
          <w:rFonts w:cs="Times New Roman"/>
          <w:sz w:val="24"/>
          <w:szCs w:val="24"/>
          <w:lang w:val="hr-HR"/>
        </w:rPr>
        <w:t xml:space="preserve"> na 62,</w:t>
      </w:r>
      <w:r w:rsidR="005C03E6">
        <w:rPr>
          <w:rFonts w:cs="Times New Roman"/>
          <w:sz w:val="24"/>
          <w:szCs w:val="24"/>
          <w:lang w:val="hr-HR"/>
        </w:rPr>
        <w:t>4</w:t>
      </w:r>
      <w:r w:rsidR="007F581C">
        <w:rPr>
          <w:rFonts w:cs="Times New Roman"/>
          <w:sz w:val="24"/>
          <w:szCs w:val="24"/>
          <w:lang w:val="hr-HR"/>
        </w:rPr>
        <w:t>% u odnosu na</w:t>
      </w:r>
      <w:r w:rsidRPr="00AD6B1B">
        <w:rPr>
          <w:rFonts w:cs="Times New Roman"/>
          <w:sz w:val="24"/>
          <w:szCs w:val="24"/>
          <w:lang w:val="hr-HR"/>
        </w:rPr>
        <w:t xml:space="preserve"> </w:t>
      </w:r>
      <w:r w:rsidR="00CE232F">
        <w:rPr>
          <w:rFonts w:cs="Times New Roman"/>
          <w:sz w:val="24"/>
          <w:szCs w:val="24"/>
          <w:lang w:val="hr-HR"/>
        </w:rPr>
        <w:t>64,6</w:t>
      </w:r>
      <w:r w:rsidRPr="00AD6B1B">
        <w:rPr>
          <w:rFonts w:cs="Times New Roman"/>
          <w:sz w:val="24"/>
          <w:szCs w:val="24"/>
          <w:lang w:val="hr-HR"/>
        </w:rPr>
        <w:t xml:space="preserve">% </w:t>
      </w:r>
      <w:r w:rsidR="007F581C">
        <w:rPr>
          <w:rFonts w:cs="Times New Roman"/>
          <w:sz w:val="24"/>
          <w:szCs w:val="24"/>
          <w:lang w:val="hr-HR"/>
        </w:rPr>
        <w:t xml:space="preserve">koliko je </w:t>
      </w:r>
      <w:r w:rsidR="005C03E6">
        <w:rPr>
          <w:rFonts w:cs="Times New Roman"/>
          <w:sz w:val="24"/>
          <w:szCs w:val="24"/>
          <w:lang w:val="hr-HR"/>
        </w:rPr>
        <w:t>iznosio</w:t>
      </w:r>
      <w:r w:rsidR="007F581C">
        <w:rPr>
          <w:rFonts w:cs="Times New Roman"/>
          <w:sz w:val="24"/>
          <w:szCs w:val="24"/>
          <w:lang w:val="hr-HR"/>
        </w:rPr>
        <w:t xml:space="preserve"> krajem 2017</w:t>
      </w:r>
      <w:r w:rsidR="00EF101C">
        <w:rPr>
          <w:rFonts w:cs="Times New Roman"/>
          <w:sz w:val="24"/>
          <w:szCs w:val="24"/>
          <w:lang w:val="hr-HR"/>
        </w:rPr>
        <w:t>.</w:t>
      </w:r>
      <w:r w:rsidR="007F581C">
        <w:rPr>
          <w:rFonts w:cs="Times New Roman"/>
          <w:sz w:val="24"/>
          <w:szCs w:val="24"/>
          <w:lang w:val="hr-HR"/>
        </w:rPr>
        <w:t xml:space="preserve"> godine</w:t>
      </w:r>
      <w:r w:rsidR="007F581C" w:rsidRPr="00FB3276">
        <w:rPr>
          <w:rFonts w:cs="Times New Roman"/>
          <w:sz w:val="24"/>
          <w:szCs w:val="24"/>
          <w:lang w:val="hr-HR"/>
        </w:rPr>
        <w:t>.</w:t>
      </w:r>
      <w:r w:rsidRPr="00FB3276">
        <w:rPr>
          <w:rFonts w:cs="Times New Roman"/>
          <w:sz w:val="24"/>
          <w:szCs w:val="24"/>
          <w:lang w:val="hr-HR"/>
        </w:rPr>
        <w:t xml:space="preserve"> </w:t>
      </w:r>
      <w:r w:rsidRPr="000C2B02">
        <w:rPr>
          <w:sz w:val="24"/>
          <w:lang w:val="hr-HR"/>
        </w:rPr>
        <w:t>Ublažavanje valutnog rizika javnog duga je jedan od ciljeva trogodišnje strategije upravljanja dugom.</w:t>
      </w:r>
    </w:p>
    <w:p w14:paraId="0E004FF6" w14:textId="77777777" w:rsidR="00AC18DC" w:rsidRPr="00FE2275" w:rsidRDefault="007413F9" w:rsidP="006B2F1F">
      <w:pPr>
        <w:pStyle w:val="Caption"/>
        <w:spacing w:before="240" w:line="276" w:lineRule="auto"/>
        <w:rPr>
          <w:i/>
          <w:sz w:val="24"/>
          <w:lang w:val="hr-HR"/>
        </w:rPr>
      </w:pPr>
      <w:bookmarkStart w:id="14" w:name="_Toc10032461"/>
      <w:r w:rsidRPr="00FE2275">
        <w:rPr>
          <w:i/>
          <w:sz w:val="24"/>
          <w:lang w:val="hr-HR"/>
        </w:rPr>
        <w:t xml:space="preserve">Grafikon </w:t>
      </w:r>
      <w:r w:rsidRPr="00FE2275">
        <w:rPr>
          <w:i/>
          <w:sz w:val="24"/>
          <w:lang w:val="hr-HR"/>
        </w:rPr>
        <w:fldChar w:fldCharType="begin"/>
      </w:r>
      <w:r w:rsidRPr="00FE2275">
        <w:rPr>
          <w:i/>
          <w:sz w:val="24"/>
          <w:lang w:val="hr-HR"/>
        </w:rPr>
        <w:instrText xml:space="preserve"> SEQ Grafikon \* ARABIC </w:instrText>
      </w:r>
      <w:r w:rsidRPr="00FE2275">
        <w:rPr>
          <w:i/>
          <w:sz w:val="24"/>
          <w:lang w:val="hr-HR"/>
        </w:rPr>
        <w:fldChar w:fldCharType="separate"/>
      </w:r>
      <w:r w:rsidR="00CE0BC8">
        <w:rPr>
          <w:i/>
          <w:noProof/>
          <w:sz w:val="24"/>
          <w:lang w:val="hr-HR"/>
        </w:rPr>
        <w:t>3</w:t>
      </w:r>
      <w:r w:rsidRPr="00FE2275">
        <w:rPr>
          <w:i/>
          <w:sz w:val="24"/>
          <w:lang w:val="hr-HR"/>
        </w:rPr>
        <w:fldChar w:fldCharType="end"/>
      </w:r>
      <w:r w:rsidRPr="00FE2275">
        <w:rPr>
          <w:i/>
          <w:sz w:val="24"/>
          <w:lang w:val="hr-HR"/>
        </w:rPr>
        <w:t>: Kretanje valutne strukture državnog duga u razdoblju 201</w:t>
      </w:r>
      <w:r w:rsidR="00FE2275" w:rsidRPr="00FE2275">
        <w:rPr>
          <w:i/>
          <w:sz w:val="24"/>
          <w:lang w:val="hr-HR"/>
        </w:rPr>
        <w:t>3</w:t>
      </w:r>
      <w:r w:rsidRPr="00FE2275">
        <w:rPr>
          <w:i/>
          <w:sz w:val="24"/>
          <w:lang w:val="hr-HR"/>
        </w:rPr>
        <w:t>. - 201</w:t>
      </w:r>
      <w:r w:rsidR="00FE2275" w:rsidRPr="00FE2275">
        <w:rPr>
          <w:i/>
          <w:sz w:val="24"/>
          <w:lang w:val="hr-HR"/>
        </w:rPr>
        <w:t>8</w:t>
      </w:r>
      <w:r w:rsidRPr="00FE2275">
        <w:rPr>
          <w:i/>
          <w:sz w:val="24"/>
          <w:lang w:val="hr-HR"/>
        </w:rPr>
        <w:t>.</w:t>
      </w:r>
      <w:bookmarkEnd w:id="14"/>
      <w:r w:rsidRPr="00FE2275">
        <w:rPr>
          <w:i/>
          <w:sz w:val="24"/>
          <w:lang w:val="hr-HR"/>
        </w:rPr>
        <w:t xml:space="preserve"> </w:t>
      </w:r>
    </w:p>
    <w:p w14:paraId="3D084D36" w14:textId="77777777" w:rsidR="008773C4" w:rsidRDefault="00AD6B1B" w:rsidP="0007582E">
      <w:pPr>
        <w:rPr>
          <w:lang w:val="hr-HR"/>
        </w:rPr>
      </w:pPr>
      <w:r>
        <w:rPr>
          <w:noProof/>
          <w:lang w:val="hr-HR" w:eastAsia="hr-HR"/>
        </w:rPr>
        <w:drawing>
          <wp:inline distT="0" distB="0" distL="0" distR="0" wp14:anchorId="334985F3" wp14:editId="26A49352">
            <wp:extent cx="4355130" cy="2840305"/>
            <wp:effectExtent l="0" t="0" r="762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1631" cy="2844544"/>
                    </a:xfrm>
                    <a:prstGeom prst="rect">
                      <a:avLst/>
                    </a:prstGeom>
                    <a:noFill/>
                  </pic:spPr>
                </pic:pic>
              </a:graphicData>
            </a:graphic>
          </wp:inline>
        </w:drawing>
      </w:r>
    </w:p>
    <w:p w14:paraId="0286D6FB" w14:textId="77777777" w:rsidR="00AD6B1B" w:rsidRDefault="00AD6B1B" w:rsidP="00AD6B1B">
      <w:pPr>
        <w:spacing w:before="240" w:line="276" w:lineRule="auto"/>
        <w:jc w:val="both"/>
        <w:rPr>
          <w:sz w:val="24"/>
          <w:szCs w:val="24"/>
          <w:lang w:val="hr-HR"/>
        </w:rPr>
      </w:pPr>
      <w:r>
        <w:rPr>
          <w:sz w:val="24"/>
          <w:szCs w:val="24"/>
          <w:lang w:val="hr-HR"/>
        </w:rPr>
        <w:t>RH</w:t>
      </w:r>
      <w:r w:rsidRPr="001620A1">
        <w:rPr>
          <w:sz w:val="24"/>
          <w:szCs w:val="24"/>
          <w:lang w:val="hr-HR"/>
        </w:rPr>
        <w:t xml:space="preserve"> je u razdoblju 2009. </w:t>
      </w:r>
      <w:r>
        <w:rPr>
          <w:sz w:val="24"/>
          <w:szCs w:val="24"/>
          <w:lang w:val="hr-HR"/>
        </w:rPr>
        <w:t>-</w:t>
      </w:r>
      <w:r w:rsidRPr="001620A1">
        <w:rPr>
          <w:sz w:val="24"/>
          <w:szCs w:val="24"/>
          <w:lang w:val="hr-HR"/>
        </w:rPr>
        <w:t xml:space="preserve"> 2013. izdala šest euroobveznica denominiranih u američkim dolarima jer se u </w:t>
      </w:r>
      <w:r>
        <w:rPr>
          <w:sz w:val="24"/>
          <w:szCs w:val="24"/>
          <w:lang w:val="hr-HR"/>
        </w:rPr>
        <w:t>razdoblju</w:t>
      </w:r>
      <w:r w:rsidRPr="001620A1">
        <w:rPr>
          <w:sz w:val="24"/>
          <w:szCs w:val="24"/>
          <w:lang w:val="hr-HR"/>
        </w:rPr>
        <w:t xml:space="preserve"> povećanih potreba financiranja i visoke volatilnosti Eurozone</w:t>
      </w:r>
      <w:r w:rsidR="005C03E6">
        <w:rPr>
          <w:sz w:val="24"/>
          <w:szCs w:val="24"/>
          <w:lang w:val="hr-HR"/>
        </w:rPr>
        <w:t>,</w:t>
      </w:r>
      <w:r w:rsidRPr="001620A1">
        <w:rPr>
          <w:sz w:val="24"/>
          <w:szCs w:val="24"/>
          <w:lang w:val="hr-HR"/>
        </w:rPr>
        <w:t xml:space="preserve"> uzrokovane dužničkom krizom pojedinih članica</w:t>
      </w:r>
      <w:r w:rsidR="005C03E6">
        <w:rPr>
          <w:sz w:val="24"/>
          <w:szCs w:val="24"/>
          <w:lang w:val="hr-HR"/>
        </w:rPr>
        <w:t>,</w:t>
      </w:r>
      <w:r w:rsidRPr="001620A1">
        <w:rPr>
          <w:sz w:val="24"/>
          <w:szCs w:val="24"/>
          <w:lang w:val="hr-HR"/>
        </w:rPr>
        <w:t xml:space="preserve"> nametnula potreba za širenjem baze investitora i tržišta. Zbog potrebe otklanjanja valutnog rizika izdano je pet valutnih </w:t>
      </w:r>
      <w:r w:rsidRPr="00F560F8">
        <w:rPr>
          <w:i/>
          <w:sz w:val="24"/>
          <w:szCs w:val="24"/>
          <w:lang w:val="hr-HR"/>
        </w:rPr>
        <w:t>swap</w:t>
      </w:r>
      <w:r w:rsidRPr="001620A1">
        <w:rPr>
          <w:sz w:val="24"/>
          <w:szCs w:val="24"/>
          <w:lang w:val="hr-HR"/>
        </w:rPr>
        <w:t xml:space="preserve"> transakcija obveznica, čime se izdane dolarske obveznice i pripadajuće kamate po unaprijed fiksiranom omjeru USD/EUR prebacuju u eurske obveze, što s obzirom na manju volatilnost EUR/HRK eliminira rizik nepovoljnih valutnih promjena.</w:t>
      </w:r>
      <w:r>
        <w:rPr>
          <w:sz w:val="24"/>
          <w:szCs w:val="24"/>
          <w:lang w:val="hr-HR"/>
        </w:rPr>
        <w:t xml:space="preserve"> </w:t>
      </w:r>
      <w:r w:rsidRPr="00FB3276">
        <w:rPr>
          <w:sz w:val="24"/>
          <w:lang w:val="hr-HR"/>
        </w:rPr>
        <w:t>U travnju 2017. godine dospjelo je i iskuplj</w:t>
      </w:r>
      <w:r w:rsidRPr="000C2B02">
        <w:rPr>
          <w:sz w:val="24"/>
          <w:lang w:val="hr-HR"/>
        </w:rPr>
        <w:t>eno 1,5 milijardi USD petogod</w:t>
      </w:r>
      <w:r w:rsidR="00831D7F" w:rsidRPr="000C2B02">
        <w:rPr>
          <w:sz w:val="24"/>
          <w:lang w:val="hr-HR"/>
        </w:rPr>
        <w:t xml:space="preserve">išnjih obveznica, kod kojih su </w:t>
      </w:r>
      <w:r w:rsidRPr="00FB3276">
        <w:rPr>
          <w:sz w:val="24"/>
          <w:lang w:val="hr-HR"/>
        </w:rPr>
        <w:t xml:space="preserve">zbog primjene valutnog </w:t>
      </w:r>
      <w:r w:rsidRPr="00FB3276">
        <w:rPr>
          <w:i/>
          <w:sz w:val="24"/>
          <w:lang w:val="hr-HR"/>
        </w:rPr>
        <w:t>swap</w:t>
      </w:r>
      <w:r w:rsidRPr="00FB3276">
        <w:rPr>
          <w:sz w:val="24"/>
          <w:lang w:val="hr-HR"/>
        </w:rPr>
        <w:t>-a samo pri isplati dospjele glavnice realizirane uštede u iznosu od 1,73 milijarde kuna.</w:t>
      </w:r>
      <w:r w:rsidRPr="001620A1">
        <w:rPr>
          <w:sz w:val="24"/>
          <w:szCs w:val="24"/>
          <w:lang w:val="hr-HR"/>
        </w:rPr>
        <w:t xml:space="preserve"> </w:t>
      </w:r>
    </w:p>
    <w:p w14:paraId="09F1FDCE" w14:textId="77777777" w:rsidR="008B368B" w:rsidRDefault="008B368B" w:rsidP="00AD6B1B">
      <w:pPr>
        <w:spacing w:before="240" w:line="276" w:lineRule="auto"/>
        <w:jc w:val="both"/>
        <w:rPr>
          <w:sz w:val="24"/>
          <w:szCs w:val="24"/>
          <w:lang w:val="hr-HR"/>
        </w:rPr>
      </w:pPr>
    </w:p>
    <w:p w14:paraId="23A2782B" w14:textId="77777777" w:rsidR="008B368B" w:rsidRDefault="008B368B" w:rsidP="00AD6B1B">
      <w:pPr>
        <w:spacing w:before="240" w:line="276" w:lineRule="auto"/>
        <w:jc w:val="both"/>
        <w:rPr>
          <w:sz w:val="24"/>
          <w:szCs w:val="24"/>
          <w:lang w:val="hr-HR"/>
        </w:rPr>
      </w:pPr>
    </w:p>
    <w:p w14:paraId="2AE8DA29" w14:textId="77777777" w:rsidR="008B368B" w:rsidRDefault="008B368B" w:rsidP="00AD6B1B">
      <w:pPr>
        <w:spacing w:before="240" w:line="276" w:lineRule="auto"/>
        <w:jc w:val="both"/>
        <w:rPr>
          <w:sz w:val="24"/>
          <w:szCs w:val="24"/>
          <w:lang w:val="hr-HR"/>
        </w:rPr>
      </w:pPr>
    </w:p>
    <w:p w14:paraId="42062B9A" w14:textId="77777777" w:rsidR="008B368B" w:rsidRDefault="008B368B" w:rsidP="00AD6B1B">
      <w:pPr>
        <w:spacing w:before="240" w:line="276" w:lineRule="auto"/>
        <w:jc w:val="both"/>
        <w:rPr>
          <w:sz w:val="24"/>
          <w:szCs w:val="24"/>
          <w:lang w:val="hr-HR"/>
        </w:rPr>
      </w:pPr>
    </w:p>
    <w:p w14:paraId="01C386D5" w14:textId="77777777" w:rsidR="008B368B" w:rsidRDefault="008B368B" w:rsidP="00AD6B1B">
      <w:pPr>
        <w:spacing w:before="240" w:line="276" w:lineRule="auto"/>
        <w:jc w:val="both"/>
        <w:rPr>
          <w:sz w:val="24"/>
          <w:szCs w:val="24"/>
          <w:lang w:val="hr-HR"/>
        </w:rPr>
      </w:pPr>
    </w:p>
    <w:p w14:paraId="451846EF" w14:textId="77777777" w:rsidR="008B368B" w:rsidRDefault="008B368B" w:rsidP="00AD6B1B">
      <w:pPr>
        <w:spacing w:before="240" w:line="276" w:lineRule="auto"/>
        <w:jc w:val="both"/>
        <w:rPr>
          <w:sz w:val="24"/>
          <w:szCs w:val="24"/>
          <w:lang w:val="hr-HR"/>
        </w:rPr>
      </w:pPr>
    </w:p>
    <w:p w14:paraId="4F662973" w14:textId="77777777" w:rsidR="008B368B" w:rsidRPr="001620A1" w:rsidRDefault="008B368B" w:rsidP="00AD6B1B">
      <w:pPr>
        <w:spacing w:before="240" w:line="276" w:lineRule="auto"/>
        <w:jc w:val="both"/>
        <w:rPr>
          <w:sz w:val="24"/>
          <w:szCs w:val="24"/>
          <w:lang w:val="hr-HR"/>
        </w:rPr>
      </w:pPr>
    </w:p>
    <w:p w14:paraId="1D50FD77" w14:textId="77777777" w:rsidR="00B95A53" w:rsidRPr="00FE2275" w:rsidRDefault="007413F9" w:rsidP="00877DA6">
      <w:pPr>
        <w:pStyle w:val="Caption"/>
        <w:spacing w:before="240" w:line="276" w:lineRule="auto"/>
        <w:rPr>
          <w:i/>
          <w:sz w:val="24"/>
          <w:lang w:val="hr-HR"/>
        </w:rPr>
      </w:pPr>
      <w:bookmarkStart w:id="15" w:name="_Toc10032462"/>
      <w:r w:rsidRPr="00FE2275">
        <w:rPr>
          <w:i/>
          <w:sz w:val="24"/>
          <w:lang w:val="hr-HR"/>
        </w:rPr>
        <w:lastRenderedPageBreak/>
        <w:t xml:space="preserve">Grafikon </w:t>
      </w:r>
      <w:r w:rsidRPr="00FE2275">
        <w:rPr>
          <w:i/>
          <w:sz w:val="24"/>
          <w:lang w:val="hr-HR"/>
        </w:rPr>
        <w:fldChar w:fldCharType="begin"/>
      </w:r>
      <w:r w:rsidRPr="00FE2275">
        <w:rPr>
          <w:i/>
          <w:sz w:val="24"/>
          <w:lang w:val="hr-HR"/>
        </w:rPr>
        <w:instrText xml:space="preserve"> SEQ Grafikon \* ARABIC </w:instrText>
      </w:r>
      <w:r w:rsidRPr="00FE2275">
        <w:rPr>
          <w:i/>
          <w:sz w:val="24"/>
          <w:lang w:val="hr-HR"/>
        </w:rPr>
        <w:fldChar w:fldCharType="separate"/>
      </w:r>
      <w:r w:rsidR="00CE0BC8">
        <w:rPr>
          <w:i/>
          <w:noProof/>
          <w:sz w:val="24"/>
          <w:lang w:val="hr-HR"/>
        </w:rPr>
        <w:t>4</w:t>
      </w:r>
      <w:r w:rsidRPr="00FE2275">
        <w:rPr>
          <w:i/>
          <w:sz w:val="24"/>
          <w:lang w:val="hr-HR"/>
        </w:rPr>
        <w:fldChar w:fldCharType="end"/>
      </w:r>
      <w:r w:rsidRPr="00FE2275">
        <w:rPr>
          <w:i/>
          <w:sz w:val="24"/>
          <w:lang w:val="hr-HR"/>
        </w:rPr>
        <w:t xml:space="preserve">: Valutni </w:t>
      </w:r>
      <w:r w:rsidRPr="00FE2275">
        <w:rPr>
          <w:sz w:val="24"/>
          <w:lang w:val="hr-HR"/>
        </w:rPr>
        <w:t>swap</w:t>
      </w:r>
      <w:r w:rsidRPr="00FE2275">
        <w:rPr>
          <w:i/>
          <w:sz w:val="24"/>
          <w:lang w:val="hr-HR"/>
        </w:rPr>
        <w:t xml:space="preserve"> kao instrument zaštite od valutnog rizika</w:t>
      </w:r>
      <w:r w:rsidR="00A948AD">
        <w:rPr>
          <w:i/>
          <w:sz w:val="24"/>
          <w:lang w:val="hr-HR"/>
        </w:rPr>
        <w:t>, 31. prosinca 2018.</w:t>
      </w:r>
      <w:bookmarkEnd w:id="15"/>
    </w:p>
    <w:p w14:paraId="47188C28" w14:textId="77777777" w:rsidR="006C1458" w:rsidRDefault="00AD6B1B" w:rsidP="00F85C06">
      <w:pPr>
        <w:rPr>
          <w:highlight w:val="yellow"/>
          <w:lang w:val="hr-HR"/>
        </w:rPr>
      </w:pPr>
      <w:r>
        <w:rPr>
          <w:noProof/>
          <w:lang w:val="hr-HR" w:eastAsia="hr-HR"/>
        </w:rPr>
        <w:drawing>
          <wp:inline distT="0" distB="0" distL="0" distR="0" wp14:anchorId="12B474AD" wp14:editId="2FECDA0E">
            <wp:extent cx="5097982" cy="2748415"/>
            <wp:effectExtent l="0" t="0" r="762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9434" cy="2770762"/>
                    </a:xfrm>
                    <a:prstGeom prst="rect">
                      <a:avLst/>
                    </a:prstGeom>
                    <a:noFill/>
                  </pic:spPr>
                </pic:pic>
              </a:graphicData>
            </a:graphic>
          </wp:inline>
        </w:drawing>
      </w:r>
    </w:p>
    <w:p w14:paraId="13C5B0C7" w14:textId="1A60BC39" w:rsidR="00877DA6" w:rsidRDefault="00877DA6" w:rsidP="00F85C06">
      <w:pPr>
        <w:spacing w:before="240" w:after="240" w:line="276" w:lineRule="auto"/>
        <w:jc w:val="both"/>
        <w:rPr>
          <w:sz w:val="24"/>
          <w:lang w:val="hr-HR"/>
        </w:rPr>
      </w:pPr>
      <w:r w:rsidRPr="001620A1">
        <w:rPr>
          <w:sz w:val="24"/>
          <w:lang w:val="hr-HR"/>
        </w:rPr>
        <w:t xml:space="preserve">Na </w:t>
      </w:r>
      <w:r w:rsidR="00FD03B4">
        <w:rPr>
          <w:sz w:val="24"/>
          <w:lang w:val="hr-HR"/>
        </w:rPr>
        <w:t>G</w:t>
      </w:r>
      <w:r w:rsidRPr="001620A1">
        <w:rPr>
          <w:sz w:val="24"/>
          <w:lang w:val="hr-HR"/>
        </w:rPr>
        <w:t>rafikonu 4</w:t>
      </w:r>
      <w:r w:rsidR="005C03E6">
        <w:rPr>
          <w:sz w:val="24"/>
          <w:lang w:val="hr-HR"/>
        </w:rPr>
        <w:t>.</w:t>
      </w:r>
      <w:r w:rsidRPr="001620A1">
        <w:rPr>
          <w:sz w:val="24"/>
          <w:lang w:val="hr-HR"/>
        </w:rPr>
        <w:t xml:space="preserve"> prikazano je</w:t>
      </w:r>
      <w:r>
        <w:rPr>
          <w:sz w:val="24"/>
          <w:lang w:val="hr-HR"/>
        </w:rPr>
        <w:t xml:space="preserve"> trenutno</w:t>
      </w:r>
      <w:r w:rsidRPr="001620A1">
        <w:rPr>
          <w:sz w:val="24"/>
          <w:lang w:val="hr-HR"/>
        </w:rPr>
        <w:t xml:space="preserve"> stanje valutne strukture državnog duga uz </w:t>
      </w:r>
      <w:r>
        <w:rPr>
          <w:sz w:val="24"/>
          <w:lang w:val="hr-HR"/>
        </w:rPr>
        <w:t>primjenu</w:t>
      </w:r>
      <w:r w:rsidRPr="001620A1">
        <w:rPr>
          <w:sz w:val="24"/>
          <w:lang w:val="hr-HR"/>
        </w:rPr>
        <w:t xml:space="preserve"> valutn</w:t>
      </w:r>
      <w:r>
        <w:rPr>
          <w:sz w:val="24"/>
          <w:lang w:val="hr-HR"/>
        </w:rPr>
        <w:t>ih</w:t>
      </w:r>
      <w:r w:rsidRPr="001620A1">
        <w:rPr>
          <w:sz w:val="24"/>
          <w:lang w:val="hr-HR"/>
        </w:rPr>
        <w:t xml:space="preserve"> </w:t>
      </w:r>
      <w:r w:rsidRPr="001620A1">
        <w:rPr>
          <w:i/>
          <w:sz w:val="24"/>
          <w:lang w:val="hr-HR"/>
        </w:rPr>
        <w:t>swap</w:t>
      </w:r>
      <w:r>
        <w:rPr>
          <w:i/>
          <w:sz w:val="24"/>
          <w:lang w:val="hr-HR"/>
        </w:rPr>
        <w:t xml:space="preserve"> </w:t>
      </w:r>
      <w:r w:rsidRPr="005774A3">
        <w:rPr>
          <w:sz w:val="24"/>
          <w:lang w:val="hr-HR"/>
        </w:rPr>
        <w:t>transakcija obveznica</w:t>
      </w:r>
      <w:r w:rsidRPr="001620A1">
        <w:rPr>
          <w:sz w:val="24"/>
          <w:lang w:val="hr-HR"/>
        </w:rPr>
        <w:t xml:space="preserve"> i</w:t>
      </w:r>
      <w:r>
        <w:rPr>
          <w:sz w:val="24"/>
          <w:lang w:val="hr-HR"/>
        </w:rPr>
        <w:t xml:space="preserve"> simulacija valutne strukture duga</w:t>
      </w:r>
      <w:r w:rsidRPr="001620A1">
        <w:rPr>
          <w:sz w:val="24"/>
          <w:lang w:val="hr-HR"/>
        </w:rPr>
        <w:t xml:space="preserve"> bez </w:t>
      </w:r>
      <w:r>
        <w:rPr>
          <w:sz w:val="24"/>
          <w:lang w:val="hr-HR"/>
        </w:rPr>
        <w:t>primjene</w:t>
      </w:r>
      <w:r w:rsidRPr="001620A1">
        <w:rPr>
          <w:sz w:val="24"/>
          <w:lang w:val="hr-HR"/>
        </w:rPr>
        <w:t xml:space="preserve"> valutnog </w:t>
      </w:r>
      <w:r w:rsidRPr="001620A1">
        <w:rPr>
          <w:i/>
          <w:sz w:val="24"/>
          <w:lang w:val="hr-HR"/>
        </w:rPr>
        <w:t>swapa</w:t>
      </w:r>
      <w:r w:rsidRPr="001620A1">
        <w:rPr>
          <w:sz w:val="24"/>
          <w:lang w:val="hr-HR"/>
        </w:rPr>
        <w:t>. Presjekom na dan 31. prosinca 201</w:t>
      </w:r>
      <w:r>
        <w:rPr>
          <w:sz w:val="24"/>
          <w:lang w:val="hr-HR"/>
        </w:rPr>
        <w:t>8</w:t>
      </w:r>
      <w:r w:rsidRPr="001620A1">
        <w:rPr>
          <w:sz w:val="24"/>
          <w:lang w:val="hr-HR"/>
        </w:rPr>
        <w:t>.</w:t>
      </w:r>
      <w:r>
        <w:rPr>
          <w:sz w:val="24"/>
          <w:lang w:val="hr-HR"/>
        </w:rPr>
        <w:t xml:space="preserve">, zahvaljujući valutnim </w:t>
      </w:r>
      <w:r w:rsidRPr="00F560F8">
        <w:rPr>
          <w:i/>
          <w:sz w:val="24"/>
          <w:lang w:val="hr-HR"/>
        </w:rPr>
        <w:t>swap</w:t>
      </w:r>
      <w:r>
        <w:rPr>
          <w:sz w:val="24"/>
          <w:lang w:val="hr-HR"/>
        </w:rPr>
        <w:t xml:space="preserve"> transakcijama, </w:t>
      </w:r>
      <w:r w:rsidRPr="001620A1">
        <w:rPr>
          <w:sz w:val="24"/>
          <w:lang w:val="hr-HR"/>
        </w:rPr>
        <w:t xml:space="preserve">utvrđene su uštede </w:t>
      </w:r>
      <w:r w:rsidR="000A6138">
        <w:rPr>
          <w:sz w:val="24"/>
          <w:lang w:val="hr-HR"/>
        </w:rPr>
        <w:t xml:space="preserve">s obzirom na kretanje tečaja </w:t>
      </w:r>
      <w:r w:rsidRPr="001620A1">
        <w:rPr>
          <w:sz w:val="24"/>
          <w:lang w:val="hr-HR"/>
        </w:rPr>
        <w:t xml:space="preserve">u iznosu od preko </w:t>
      </w:r>
      <w:r>
        <w:rPr>
          <w:sz w:val="24"/>
          <w:lang w:val="hr-HR"/>
        </w:rPr>
        <w:t>5,97</w:t>
      </w:r>
      <w:r w:rsidRPr="001620A1">
        <w:rPr>
          <w:sz w:val="24"/>
          <w:lang w:val="hr-HR"/>
        </w:rPr>
        <w:t xml:space="preserve"> milijard</w:t>
      </w:r>
      <w:r w:rsidR="003C3CAE">
        <w:rPr>
          <w:sz w:val="24"/>
          <w:lang w:val="hr-HR"/>
        </w:rPr>
        <w:t>i</w:t>
      </w:r>
      <w:r w:rsidRPr="001620A1">
        <w:rPr>
          <w:sz w:val="24"/>
          <w:lang w:val="hr-HR"/>
        </w:rPr>
        <w:t xml:space="preserve"> kuna na iznos glavnice duga, čime su izbjegnute negativne tečajne razlike uslijed volatilnosti dolara. </w:t>
      </w:r>
    </w:p>
    <w:p w14:paraId="221B7865" w14:textId="77777777" w:rsidR="008B368B" w:rsidRDefault="008B368B" w:rsidP="00F85C06">
      <w:pPr>
        <w:spacing w:before="240" w:after="240" w:line="276" w:lineRule="auto"/>
        <w:jc w:val="both"/>
        <w:rPr>
          <w:sz w:val="24"/>
          <w:lang w:val="hr-HR"/>
        </w:rPr>
      </w:pPr>
    </w:p>
    <w:p w14:paraId="12E673B7" w14:textId="77777777" w:rsidR="008B368B" w:rsidRDefault="008B368B" w:rsidP="00F85C06">
      <w:pPr>
        <w:spacing w:before="240" w:after="240" w:line="276" w:lineRule="auto"/>
        <w:jc w:val="both"/>
        <w:rPr>
          <w:sz w:val="24"/>
          <w:lang w:val="hr-HR"/>
        </w:rPr>
      </w:pPr>
    </w:p>
    <w:p w14:paraId="2DF1EFB9" w14:textId="77777777" w:rsidR="007413F9" w:rsidRPr="00E14D47" w:rsidRDefault="007413F9" w:rsidP="00F85C06">
      <w:pPr>
        <w:pStyle w:val="Heading2"/>
        <w:numPr>
          <w:ilvl w:val="1"/>
          <w:numId w:val="1"/>
        </w:numPr>
        <w:spacing w:before="240" w:line="276" w:lineRule="auto"/>
        <w:rPr>
          <w:lang w:val="hr-HR"/>
        </w:rPr>
      </w:pPr>
      <w:bookmarkStart w:id="16" w:name="_Toc10032427"/>
      <w:r w:rsidRPr="00E14D47">
        <w:rPr>
          <w:lang w:val="hr-HR"/>
        </w:rPr>
        <w:t>Kamatna struktura državnog duga</w:t>
      </w:r>
      <w:bookmarkEnd w:id="16"/>
    </w:p>
    <w:p w14:paraId="3586678C" w14:textId="7FA1E904" w:rsidR="007C4E6C" w:rsidRDefault="005C03E6" w:rsidP="007C4E6C">
      <w:pPr>
        <w:spacing w:before="240" w:line="276" w:lineRule="auto"/>
        <w:jc w:val="both"/>
        <w:rPr>
          <w:sz w:val="24"/>
          <w:szCs w:val="24"/>
          <w:lang w:val="hr-HR"/>
        </w:rPr>
      </w:pPr>
      <w:r>
        <w:rPr>
          <w:sz w:val="24"/>
          <w:szCs w:val="24"/>
          <w:lang w:val="hr-HR"/>
        </w:rPr>
        <w:t>Krajem</w:t>
      </w:r>
      <w:r w:rsidR="00E14D47" w:rsidRPr="00A948AD">
        <w:rPr>
          <w:sz w:val="24"/>
          <w:szCs w:val="24"/>
          <w:lang w:val="hr-HR"/>
        </w:rPr>
        <w:t xml:space="preserve"> 2018. </w:t>
      </w:r>
      <w:r w:rsidR="00806B6A">
        <w:rPr>
          <w:sz w:val="24"/>
          <w:szCs w:val="24"/>
          <w:lang w:val="hr-HR"/>
        </w:rPr>
        <w:t xml:space="preserve">udio duga s fiksnom kamatnom stopom čini </w:t>
      </w:r>
      <w:r w:rsidR="00E14D47" w:rsidRPr="00A948AD">
        <w:rPr>
          <w:sz w:val="24"/>
          <w:szCs w:val="24"/>
          <w:lang w:val="hr-HR"/>
        </w:rPr>
        <w:t>89,1% dugoročnog duga državnog proračuna</w:t>
      </w:r>
      <w:r>
        <w:rPr>
          <w:sz w:val="24"/>
          <w:szCs w:val="24"/>
          <w:lang w:val="hr-HR"/>
        </w:rPr>
        <w:t>,</w:t>
      </w:r>
      <w:r w:rsidR="00AC1614">
        <w:rPr>
          <w:sz w:val="24"/>
          <w:szCs w:val="24"/>
          <w:lang w:val="hr-HR"/>
        </w:rPr>
        <w:t xml:space="preserve"> što predstavlja povećanje </w:t>
      </w:r>
      <w:r>
        <w:rPr>
          <w:sz w:val="24"/>
          <w:szCs w:val="24"/>
          <w:lang w:val="hr-HR"/>
        </w:rPr>
        <w:t>od</w:t>
      </w:r>
      <w:r w:rsidR="00AC1614">
        <w:rPr>
          <w:sz w:val="24"/>
          <w:szCs w:val="24"/>
          <w:lang w:val="hr-HR"/>
        </w:rPr>
        <w:t xml:space="preserve"> 0,2</w:t>
      </w:r>
      <w:r w:rsidR="007C4E6C">
        <w:rPr>
          <w:sz w:val="24"/>
          <w:szCs w:val="24"/>
          <w:lang w:val="hr-HR"/>
        </w:rPr>
        <w:t xml:space="preserve"> postotna boda</w:t>
      </w:r>
      <w:r w:rsidR="00AC1614">
        <w:rPr>
          <w:sz w:val="24"/>
          <w:szCs w:val="24"/>
          <w:lang w:val="hr-HR"/>
        </w:rPr>
        <w:t xml:space="preserve"> u odnosu na 2017. godinu. Povećanje udjela</w:t>
      </w:r>
      <w:r w:rsidR="00E14D47" w:rsidRPr="00A948AD">
        <w:rPr>
          <w:sz w:val="24"/>
          <w:szCs w:val="24"/>
          <w:lang w:val="hr-HR"/>
        </w:rPr>
        <w:t xml:space="preserve"> </w:t>
      </w:r>
      <w:r w:rsidR="00AC1614">
        <w:rPr>
          <w:sz w:val="24"/>
          <w:szCs w:val="24"/>
          <w:lang w:val="hr-HR"/>
        </w:rPr>
        <w:t xml:space="preserve">duga s fiksnom kamatnom stopom rezultat je </w:t>
      </w:r>
      <w:r w:rsidR="007C4E6C">
        <w:rPr>
          <w:sz w:val="24"/>
          <w:szCs w:val="24"/>
          <w:lang w:val="hr-HR"/>
        </w:rPr>
        <w:t>orijentacije na zaduživanje</w:t>
      </w:r>
      <w:r w:rsidR="00692503">
        <w:rPr>
          <w:sz w:val="24"/>
          <w:szCs w:val="24"/>
          <w:lang w:val="hr-HR"/>
        </w:rPr>
        <w:t xml:space="preserve"> putem</w:t>
      </w:r>
      <w:r w:rsidR="00AC1614">
        <w:rPr>
          <w:sz w:val="24"/>
          <w:szCs w:val="24"/>
          <w:lang w:val="hr-HR"/>
        </w:rPr>
        <w:t xml:space="preserve"> dugoročn</w:t>
      </w:r>
      <w:r w:rsidR="00692503">
        <w:rPr>
          <w:sz w:val="24"/>
          <w:szCs w:val="24"/>
          <w:lang w:val="hr-HR"/>
        </w:rPr>
        <w:t>ih</w:t>
      </w:r>
      <w:r w:rsidR="00AC1614">
        <w:rPr>
          <w:sz w:val="24"/>
          <w:szCs w:val="24"/>
          <w:lang w:val="hr-HR"/>
        </w:rPr>
        <w:t xml:space="preserve"> vrijednosn</w:t>
      </w:r>
      <w:r w:rsidR="00692503">
        <w:rPr>
          <w:sz w:val="24"/>
          <w:szCs w:val="24"/>
          <w:lang w:val="hr-HR"/>
        </w:rPr>
        <w:t>ih</w:t>
      </w:r>
      <w:r w:rsidR="00AC1614">
        <w:rPr>
          <w:sz w:val="24"/>
          <w:szCs w:val="24"/>
          <w:lang w:val="hr-HR"/>
        </w:rPr>
        <w:t xml:space="preserve"> </w:t>
      </w:r>
      <w:r w:rsidR="00AC1614" w:rsidRPr="00FB3276">
        <w:rPr>
          <w:sz w:val="24"/>
          <w:szCs w:val="24"/>
          <w:lang w:val="hr-HR"/>
        </w:rPr>
        <w:t>papir</w:t>
      </w:r>
      <w:r w:rsidR="00692503" w:rsidRPr="000C2B02">
        <w:rPr>
          <w:sz w:val="24"/>
          <w:szCs w:val="24"/>
          <w:lang w:val="hr-HR"/>
        </w:rPr>
        <w:t>a</w:t>
      </w:r>
      <w:r w:rsidR="00AC1614" w:rsidRPr="000C2B02">
        <w:rPr>
          <w:sz w:val="24"/>
          <w:szCs w:val="24"/>
          <w:lang w:val="hr-HR"/>
        </w:rPr>
        <w:t xml:space="preserve">. </w:t>
      </w:r>
      <w:r w:rsidR="00A948AD" w:rsidRPr="00FB3276">
        <w:rPr>
          <w:sz w:val="24"/>
          <w:lang w:val="hr-HR"/>
        </w:rPr>
        <w:t>U</w:t>
      </w:r>
      <w:r w:rsidR="00E14D47" w:rsidRPr="00FB3276">
        <w:rPr>
          <w:sz w:val="24"/>
          <w:lang w:val="hr-HR"/>
        </w:rPr>
        <w:t>blažavanj</w:t>
      </w:r>
      <w:r w:rsidR="00A948AD" w:rsidRPr="00FB3276">
        <w:rPr>
          <w:sz w:val="24"/>
          <w:lang w:val="hr-HR"/>
        </w:rPr>
        <w:t>e</w:t>
      </w:r>
      <w:r w:rsidR="00E14D47" w:rsidRPr="00FB3276">
        <w:rPr>
          <w:sz w:val="24"/>
          <w:lang w:val="hr-HR"/>
        </w:rPr>
        <w:t xml:space="preserve"> kamatnog rizika javnog duga je jedan od ciljeva </w:t>
      </w:r>
      <w:r w:rsidR="00A948AD" w:rsidRPr="00FB3276">
        <w:rPr>
          <w:sz w:val="24"/>
          <w:lang w:val="hr-HR"/>
        </w:rPr>
        <w:t xml:space="preserve">trogodišnje </w:t>
      </w:r>
      <w:r w:rsidR="00E14D47" w:rsidRPr="00FB3276">
        <w:rPr>
          <w:sz w:val="24"/>
          <w:lang w:val="hr-HR"/>
        </w:rPr>
        <w:t>strategije upravljanja</w:t>
      </w:r>
      <w:r w:rsidR="00A948AD" w:rsidRPr="00FB3276">
        <w:rPr>
          <w:sz w:val="24"/>
          <w:lang w:val="hr-HR"/>
        </w:rPr>
        <w:t xml:space="preserve"> javnim</w:t>
      </w:r>
      <w:r w:rsidR="00E14D47" w:rsidRPr="00FB3276">
        <w:rPr>
          <w:sz w:val="24"/>
          <w:lang w:val="hr-HR"/>
        </w:rPr>
        <w:t xml:space="preserve"> dugom.</w:t>
      </w:r>
      <w:r w:rsidR="00E14D47" w:rsidRPr="00A948AD">
        <w:rPr>
          <w:sz w:val="24"/>
          <w:szCs w:val="24"/>
          <w:lang w:val="hr-HR"/>
        </w:rPr>
        <w:t xml:space="preserve"> Kretanje strukture dugoročnog državnog duga prema vrsti kamatne stope </w:t>
      </w:r>
      <w:r w:rsidR="00692503">
        <w:rPr>
          <w:sz w:val="24"/>
          <w:szCs w:val="24"/>
          <w:lang w:val="hr-HR"/>
        </w:rPr>
        <w:t xml:space="preserve">u razdoblju 2013. – 2018. </w:t>
      </w:r>
      <w:r w:rsidR="00E14D47" w:rsidRPr="00A948AD">
        <w:rPr>
          <w:sz w:val="24"/>
          <w:szCs w:val="24"/>
          <w:lang w:val="hr-HR"/>
        </w:rPr>
        <w:t xml:space="preserve">prikazano je </w:t>
      </w:r>
      <w:r w:rsidR="007C4E6C">
        <w:rPr>
          <w:sz w:val="24"/>
          <w:szCs w:val="24"/>
          <w:lang w:val="hr-HR"/>
        </w:rPr>
        <w:t>G</w:t>
      </w:r>
      <w:r w:rsidR="00E14D47" w:rsidRPr="00A948AD">
        <w:rPr>
          <w:sz w:val="24"/>
          <w:szCs w:val="24"/>
          <w:lang w:val="hr-HR"/>
        </w:rPr>
        <w:t>rafikonom 5.</w:t>
      </w:r>
      <w:r w:rsidR="007C4E6C">
        <w:rPr>
          <w:sz w:val="24"/>
          <w:szCs w:val="24"/>
          <w:lang w:val="hr-HR"/>
        </w:rPr>
        <w:t xml:space="preserve"> </w:t>
      </w:r>
    </w:p>
    <w:p w14:paraId="003F2973" w14:textId="77777777" w:rsidR="008B368B" w:rsidRDefault="008B368B" w:rsidP="007C4E6C">
      <w:pPr>
        <w:spacing w:before="240" w:line="276" w:lineRule="auto"/>
        <w:jc w:val="both"/>
        <w:rPr>
          <w:sz w:val="24"/>
          <w:szCs w:val="24"/>
          <w:lang w:val="hr-HR"/>
        </w:rPr>
      </w:pPr>
    </w:p>
    <w:p w14:paraId="1225CE1D" w14:textId="77777777" w:rsidR="008B368B" w:rsidRDefault="008B368B" w:rsidP="007C4E6C">
      <w:pPr>
        <w:spacing w:before="240" w:line="276" w:lineRule="auto"/>
        <w:jc w:val="both"/>
        <w:rPr>
          <w:sz w:val="24"/>
          <w:szCs w:val="24"/>
          <w:lang w:val="hr-HR"/>
        </w:rPr>
      </w:pPr>
    </w:p>
    <w:p w14:paraId="4F60DDE4" w14:textId="77777777" w:rsidR="008B368B" w:rsidRDefault="008B368B" w:rsidP="007C4E6C">
      <w:pPr>
        <w:spacing w:before="240" w:line="276" w:lineRule="auto"/>
        <w:jc w:val="both"/>
        <w:rPr>
          <w:sz w:val="24"/>
          <w:szCs w:val="24"/>
          <w:lang w:val="hr-HR"/>
        </w:rPr>
      </w:pPr>
    </w:p>
    <w:p w14:paraId="522D543E" w14:textId="77777777" w:rsidR="008B368B" w:rsidRPr="002F293E" w:rsidRDefault="008B368B" w:rsidP="007C4E6C">
      <w:pPr>
        <w:spacing w:before="240" w:line="276" w:lineRule="auto"/>
        <w:jc w:val="both"/>
        <w:rPr>
          <w:sz w:val="24"/>
          <w:szCs w:val="24"/>
          <w:lang w:val="hr-HR"/>
        </w:rPr>
      </w:pPr>
    </w:p>
    <w:p w14:paraId="3005A777" w14:textId="77777777" w:rsidR="00AC18DC" w:rsidRDefault="007413F9" w:rsidP="006B2F1F">
      <w:pPr>
        <w:pStyle w:val="Caption"/>
        <w:spacing w:before="240" w:line="276" w:lineRule="auto"/>
        <w:rPr>
          <w:bCs w:val="0"/>
          <w:i/>
          <w:sz w:val="24"/>
          <w:lang w:val="hr-HR"/>
        </w:rPr>
      </w:pPr>
      <w:bookmarkStart w:id="17" w:name="_Toc10032463"/>
      <w:r w:rsidRPr="00E14D47">
        <w:rPr>
          <w:bCs w:val="0"/>
          <w:i/>
          <w:sz w:val="24"/>
          <w:lang w:val="hr-HR"/>
        </w:rPr>
        <w:lastRenderedPageBreak/>
        <w:t xml:space="preserve">Grafikon </w:t>
      </w:r>
      <w:r w:rsidRPr="00E14D47">
        <w:rPr>
          <w:bCs w:val="0"/>
          <w:i/>
          <w:sz w:val="24"/>
          <w:lang w:val="hr-HR"/>
        </w:rPr>
        <w:fldChar w:fldCharType="begin"/>
      </w:r>
      <w:r w:rsidRPr="00E14D47">
        <w:rPr>
          <w:bCs w:val="0"/>
          <w:i/>
          <w:sz w:val="24"/>
          <w:lang w:val="hr-HR"/>
        </w:rPr>
        <w:instrText xml:space="preserve"> SEQ Grafikon \* ARABIC </w:instrText>
      </w:r>
      <w:r w:rsidRPr="00E14D47">
        <w:rPr>
          <w:bCs w:val="0"/>
          <w:i/>
          <w:sz w:val="24"/>
          <w:lang w:val="hr-HR"/>
        </w:rPr>
        <w:fldChar w:fldCharType="separate"/>
      </w:r>
      <w:r w:rsidR="00CE0BC8">
        <w:rPr>
          <w:bCs w:val="0"/>
          <w:i/>
          <w:noProof/>
          <w:sz w:val="24"/>
          <w:lang w:val="hr-HR"/>
        </w:rPr>
        <w:t>5</w:t>
      </w:r>
      <w:r w:rsidRPr="00E14D47">
        <w:rPr>
          <w:bCs w:val="0"/>
          <w:i/>
          <w:sz w:val="24"/>
          <w:lang w:val="hr-HR"/>
        </w:rPr>
        <w:fldChar w:fldCharType="end"/>
      </w:r>
      <w:r w:rsidRPr="00E14D47">
        <w:rPr>
          <w:bCs w:val="0"/>
          <w:i/>
          <w:sz w:val="24"/>
          <w:lang w:val="hr-HR"/>
        </w:rPr>
        <w:t>: Struktura dugoročnog državnog duga prema vrsti kamate</w:t>
      </w:r>
      <w:r w:rsidR="00A948AD">
        <w:rPr>
          <w:bCs w:val="0"/>
          <w:i/>
          <w:sz w:val="24"/>
          <w:lang w:val="hr-HR"/>
        </w:rPr>
        <w:t>, 2013</w:t>
      </w:r>
      <w:r w:rsidR="007C4E6C">
        <w:rPr>
          <w:bCs w:val="0"/>
          <w:i/>
          <w:sz w:val="24"/>
          <w:lang w:val="hr-HR"/>
        </w:rPr>
        <w:t>.</w:t>
      </w:r>
      <w:r w:rsidR="003C3CAE">
        <w:rPr>
          <w:bCs w:val="0"/>
          <w:i/>
          <w:sz w:val="24"/>
          <w:lang w:val="hr-HR"/>
        </w:rPr>
        <w:t xml:space="preserve"> </w:t>
      </w:r>
      <w:r w:rsidR="00A948AD">
        <w:rPr>
          <w:bCs w:val="0"/>
          <w:i/>
          <w:sz w:val="24"/>
          <w:lang w:val="hr-HR"/>
        </w:rPr>
        <w:t>-</w:t>
      </w:r>
      <w:r w:rsidR="003C3CAE">
        <w:rPr>
          <w:bCs w:val="0"/>
          <w:i/>
          <w:sz w:val="24"/>
          <w:lang w:val="hr-HR"/>
        </w:rPr>
        <w:t xml:space="preserve"> </w:t>
      </w:r>
      <w:r w:rsidR="00A948AD">
        <w:rPr>
          <w:bCs w:val="0"/>
          <w:i/>
          <w:sz w:val="24"/>
          <w:lang w:val="hr-HR"/>
        </w:rPr>
        <w:t>2018</w:t>
      </w:r>
      <w:r w:rsidR="007C4E6C">
        <w:rPr>
          <w:bCs w:val="0"/>
          <w:i/>
          <w:sz w:val="24"/>
          <w:lang w:val="hr-HR"/>
        </w:rPr>
        <w:t>.</w:t>
      </w:r>
      <w:bookmarkEnd w:id="17"/>
    </w:p>
    <w:p w14:paraId="63F64B02" w14:textId="77777777" w:rsidR="002B4C58" w:rsidRPr="002B4C58" w:rsidRDefault="002B4C58" w:rsidP="002B4C58">
      <w:pPr>
        <w:rPr>
          <w:lang w:val="hr-HR"/>
        </w:rPr>
      </w:pPr>
      <w:r>
        <w:rPr>
          <w:noProof/>
          <w:lang w:val="hr-HR" w:eastAsia="hr-HR"/>
        </w:rPr>
        <w:drawing>
          <wp:inline distT="0" distB="0" distL="0" distR="0" wp14:anchorId="2C761052" wp14:editId="485CED55">
            <wp:extent cx="5406571" cy="3130887"/>
            <wp:effectExtent l="0" t="0" r="381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0971" cy="3133435"/>
                    </a:xfrm>
                    <a:prstGeom prst="rect">
                      <a:avLst/>
                    </a:prstGeom>
                    <a:noFill/>
                  </pic:spPr>
                </pic:pic>
              </a:graphicData>
            </a:graphic>
          </wp:inline>
        </w:drawing>
      </w:r>
    </w:p>
    <w:p w14:paraId="7AA87034" w14:textId="77777777" w:rsidR="006B2F1F" w:rsidRDefault="006B2F1F" w:rsidP="006B2F1F">
      <w:pPr>
        <w:spacing w:after="200" w:line="276" w:lineRule="auto"/>
        <w:jc w:val="both"/>
        <w:rPr>
          <w:sz w:val="24"/>
          <w:szCs w:val="24"/>
          <w:highlight w:val="yellow"/>
          <w:lang w:val="hr-HR"/>
        </w:rPr>
      </w:pPr>
    </w:p>
    <w:p w14:paraId="2AE56AFC" w14:textId="77777777" w:rsidR="008B368B" w:rsidRPr="00025326" w:rsidRDefault="008B368B" w:rsidP="006B2F1F">
      <w:pPr>
        <w:spacing w:after="200" w:line="276" w:lineRule="auto"/>
        <w:jc w:val="both"/>
        <w:rPr>
          <w:sz w:val="24"/>
          <w:szCs w:val="24"/>
          <w:highlight w:val="yellow"/>
          <w:lang w:val="hr-HR"/>
        </w:rPr>
      </w:pPr>
    </w:p>
    <w:p w14:paraId="3E461532" w14:textId="77777777" w:rsidR="007413F9" w:rsidRPr="003F5DB3" w:rsidRDefault="007413F9" w:rsidP="007413F9">
      <w:pPr>
        <w:pStyle w:val="Heading2"/>
        <w:numPr>
          <w:ilvl w:val="1"/>
          <w:numId w:val="1"/>
        </w:numPr>
        <w:spacing w:line="276" w:lineRule="auto"/>
        <w:rPr>
          <w:lang w:val="hr-HR"/>
        </w:rPr>
      </w:pPr>
      <w:bookmarkStart w:id="18" w:name="_Toc10032428"/>
      <w:r w:rsidRPr="003F5DB3">
        <w:rPr>
          <w:lang w:val="hr-HR"/>
        </w:rPr>
        <w:t>Ročna struktura državnog duga</w:t>
      </w:r>
      <w:bookmarkEnd w:id="18"/>
    </w:p>
    <w:p w14:paraId="21A7FC3A" w14:textId="01753C69" w:rsidR="003F5DB3" w:rsidRDefault="003F5DB3" w:rsidP="00137E2C">
      <w:pPr>
        <w:spacing w:before="240" w:line="276" w:lineRule="auto"/>
        <w:jc w:val="both"/>
        <w:rPr>
          <w:sz w:val="24"/>
          <w:szCs w:val="24"/>
          <w:lang w:val="hr-HR"/>
        </w:rPr>
      </w:pPr>
      <w:r w:rsidRPr="007872AC">
        <w:rPr>
          <w:sz w:val="24"/>
          <w:szCs w:val="24"/>
          <w:lang w:val="hr-HR"/>
        </w:rPr>
        <w:t xml:space="preserve">Projekcija otplata glavnica domaćeg i inozemnog </w:t>
      </w:r>
      <w:r w:rsidR="007872AC">
        <w:rPr>
          <w:sz w:val="24"/>
          <w:szCs w:val="24"/>
          <w:lang w:val="hr-HR"/>
        </w:rPr>
        <w:t xml:space="preserve">dugoročnog </w:t>
      </w:r>
      <w:r w:rsidRPr="007872AC">
        <w:rPr>
          <w:sz w:val="24"/>
          <w:szCs w:val="24"/>
          <w:lang w:val="hr-HR"/>
        </w:rPr>
        <w:t>duga u razdoblju 201</w:t>
      </w:r>
      <w:r w:rsidR="007872AC">
        <w:rPr>
          <w:sz w:val="24"/>
          <w:szCs w:val="24"/>
          <w:lang w:val="hr-HR"/>
        </w:rPr>
        <w:t>9</w:t>
      </w:r>
      <w:r w:rsidRPr="007872AC">
        <w:rPr>
          <w:sz w:val="24"/>
          <w:szCs w:val="24"/>
          <w:lang w:val="hr-HR"/>
        </w:rPr>
        <w:t>. - 2032.</w:t>
      </w:r>
      <w:r w:rsidR="00F07B27">
        <w:rPr>
          <w:sz w:val="24"/>
          <w:szCs w:val="24"/>
          <w:lang w:val="hr-HR"/>
        </w:rPr>
        <w:t xml:space="preserve"> </w:t>
      </w:r>
      <w:r w:rsidRPr="007872AC">
        <w:rPr>
          <w:sz w:val="24"/>
          <w:szCs w:val="24"/>
          <w:lang w:val="hr-HR"/>
        </w:rPr>
        <w:t xml:space="preserve">prikazana je </w:t>
      </w:r>
      <w:r w:rsidR="00F07B27">
        <w:rPr>
          <w:sz w:val="24"/>
          <w:szCs w:val="24"/>
          <w:lang w:val="hr-HR"/>
        </w:rPr>
        <w:t>G</w:t>
      </w:r>
      <w:r w:rsidRPr="007872AC">
        <w:rPr>
          <w:sz w:val="24"/>
          <w:szCs w:val="24"/>
          <w:lang w:val="hr-HR"/>
        </w:rPr>
        <w:t xml:space="preserve">rafikonom 6. U projekciju nisu uključene </w:t>
      </w:r>
      <w:r w:rsidR="00F07B27">
        <w:rPr>
          <w:sz w:val="24"/>
          <w:szCs w:val="24"/>
          <w:lang w:val="hr-HR"/>
        </w:rPr>
        <w:t xml:space="preserve">kratkoročne </w:t>
      </w:r>
      <w:r w:rsidRPr="007872AC">
        <w:rPr>
          <w:sz w:val="24"/>
          <w:szCs w:val="24"/>
          <w:lang w:val="hr-HR"/>
        </w:rPr>
        <w:t xml:space="preserve">obveze po trezorskim zapisima, </w:t>
      </w:r>
      <w:r w:rsidR="00F07B27">
        <w:rPr>
          <w:sz w:val="24"/>
          <w:szCs w:val="24"/>
          <w:lang w:val="hr-HR"/>
        </w:rPr>
        <w:t>a</w:t>
      </w:r>
      <w:r w:rsidRPr="007872AC">
        <w:rPr>
          <w:sz w:val="24"/>
          <w:szCs w:val="24"/>
          <w:lang w:val="hr-HR"/>
        </w:rPr>
        <w:t xml:space="preserve"> potkraj 2018</w:t>
      </w:r>
      <w:r w:rsidR="007872AC">
        <w:rPr>
          <w:sz w:val="24"/>
          <w:szCs w:val="24"/>
          <w:lang w:val="hr-HR"/>
        </w:rPr>
        <w:t xml:space="preserve">. godine iznosile </w:t>
      </w:r>
      <w:r w:rsidR="00F07B27">
        <w:rPr>
          <w:sz w:val="24"/>
          <w:szCs w:val="24"/>
          <w:lang w:val="hr-HR"/>
        </w:rPr>
        <w:t xml:space="preserve">su </w:t>
      </w:r>
      <w:r w:rsidR="007872AC">
        <w:rPr>
          <w:sz w:val="24"/>
          <w:szCs w:val="24"/>
          <w:lang w:val="hr-HR"/>
        </w:rPr>
        <w:t>30,1 milijard</w:t>
      </w:r>
      <w:r w:rsidR="003C3CAE">
        <w:rPr>
          <w:sz w:val="24"/>
          <w:szCs w:val="24"/>
          <w:lang w:val="hr-HR"/>
        </w:rPr>
        <w:t>u</w:t>
      </w:r>
      <w:r w:rsidRPr="007872AC">
        <w:rPr>
          <w:sz w:val="24"/>
          <w:szCs w:val="24"/>
          <w:lang w:val="hr-HR"/>
        </w:rPr>
        <w:t xml:space="preserve"> kuna.</w:t>
      </w:r>
      <w:r w:rsidRPr="007872AC">
        <w:rPr>
          <w:lang w:val="hr-HR"/>
        </w:rPr>
        <w:t xml:space="preserve"> </w:t>
      </w:r>
      <w:r w:rsidRPr="007872AC">
        <w:rPr>
          <w:sz w:val="24"/>
          <w:szCs w:val="24"/>
          <w:lang w:val="hr-HR"/>
        </w:rPr>
        <w:t xml:space="preserve">Bez iznosa </w:t>
      </w:r>
      <w:r w:rsidR="00F07B27">
        <w:rPr>
          <w:sz w:val="24"/>
          <w:szCs w:val="24"/>
          <w:lang w:val="hr-HR"/>
        </w:rPr>
        <w:t>kratkoročnih dospijeća</w:t>
      </w:r>
      <w:r w:rsidRPr="007872AC">
        <w:rPr>
          <w:sz w:val="24"/>
          <w:szCs w:val="24"/>
          <w:lang w:val="hr-HR"/>
        </w:rPr>
        <w:t>, u 201</w:t>
      </w:r>
      <w:r w:rsidR="007872AC">
        <w:rPr>
          <w:sz w:val="24"/>
          <w:szCs w:val="24"/>
          <w:lang w:val="hr-HR"/>
        </w:rPr>
        <w:t>9</w:t>
      </w:r>
      <w:r w:rsidRPr="007872AC">
        <w:rPr>
          <w:sz w:val="24"/>
          <w:szCs w:val="24"/>
          <w:lang w:val="hr-HR"/>
        </w:rPr>
        <w:t>. godini potrebno je otplatiti dugoročne obveze u iznosu od 2</w:t>
      </w:r>
      <w:r w:rsidR="007872AC">
        <w:rPr>
          <w:sz w:val="24"/>
          <w:szCs w:val="24"/>
          <w:lang w:val="hr-HR"/>
        </w:rPr>
        <w:t>2,6</w:t>
      </w:r>
      <w:r w:rsidRPr="007872AC">
        <w:rPr>
          <w:sz w:val="24"/>
          <w:szCs w:val="24"/>
          <w:lang w:val="hr-HR"/>
        </w:rPr>
        <w:t xml:space="preserve"> milijardi kuna. </w:t>
      </w:r>
      <w:r w:rsidR="000E6E99">
        <w:rPr>
          <w:sz w:val="24"/>
          <w:szCs w:val="24"/>
          <w:lang w:val="hr-HR"/>
        </w:rPr>
        <w:t>S obzirom da je za upravljanj</w:t>
      </w:r>
      <w:r w:rsidR="004407C1">
        <w:rPr>
          <w:sz w:val="24"/>
          <w:szCs w:val="24"/>
          <w:lang w:val="hr-HR"/>
        </w:rPr>
        <w:t>e</w:t>
      </w:r>
      <w:r w:rsidR="000E6E99">
        <w:rPr>
          <w:sz w:val="24"/>
          <w:szCs w:val="24"/>
          <w:lang w:val="hr-HR"/>
        </w:rPr>
        <w:t xml:space="preserve"> javnim dugom važno </w:t>
      </w:r>
      <w:r w:rsidR="004407C1">
        <w:rPr>
          <w:sz w:val="24"/>
          <w:szCs w:val="24"/>
          <w:lang w:val="hr-HR"/>
        </w:rPr>
        <w:t>osigurati</w:t>
      </w:r>
      <w:r w:rsidR="000E6E99">
        <w:rPr>
          <w:sz w:val="24"/>
          <w:szCs w:val="24"/>
          <w:lang w:val="hr-HR"/>
        </w:rPr>
        <w:t xml:space="preserve"> ravnomjeran teret otplata u nadolazećem razdoblju, posebna pažnja pridavat će se zadržavanju ujednačenog dospijeća duga. </w:t>
      </w:r>
      <w:r w:rsidR="00EF101C">
        <w:rPr>
          <w:sz w:val="24"/>
          <w:szCs w:val="24"/>
          <w:lang w:val="hr-HR"/>
        </w:rPr>
        <w:t xml:space="preserve">Zadržava se također mogućnost </w:t>
      </w:r>
      <w:r w:rsidR="000F72EC">
        <w:rPr>
          <w:sz w:val="24"/>
          <w:szCs w:val="24"/>
          <w:lang w:val="hr-HR"/>
        </w:rPr>
        <w:t>refinanciranja postojećeg duga po povoljnijim uvjetima i s dužim razdobljem otplate s obzirom na trenutnu situaciju na financijskim tržištima.</w:t>
      </w:r>
      <w:r w:rsidR="004407C1">
        <w:rPr>
          <w:sz w:val="24"/>
          <w:szCs w:val="24"/>
          <w:lang w:val="hr-HR"/>
        </w:rPr>
        <w:t xml:space="preserve"> </w:t>
      </w:r>
      <w:r w:rsidRPr="007872AC">
        <w:rPr>
          <w:sz w:val="24"/>
          <w:szCs w:val="24"/>
          <w:lang w:val="hr-HR"/>
        </w:rPr>
        <w:t xml:space="preserve"> </w:t>
      </w:r>
    </w:p>
    <w:p w14:paraId="44840779" w14:textId="77777777" w:rsidR="008B368B" w:rsidRDefault="008B368B" w:rsidP="00137E2C">
      <w:pPr>
        <w:spacing w:before="240" w:line="276" w:lineRule="auto"/>
        <w:jc w:val="both"/>
        <w:rPr>
          <w:sz w:val="24"/>
          <w:szCs w:val="24"/>
          <w:lang w:val="hr-HR"/>
        </w:rPr>
      </w:pPr>
    </w:p>
    <w:p w14:paraId="181F94F6" w14:textId="77777777" w:rsidR="008B368B" w:rsidRDefault="008B368B" w:rsidP="00137E2C">
      <w:pPr>
        <w:spacing w:before="240" w:line="276" w:lineRule="auto"/>
        <w:jc w:val="both"/>
        <w:rPr>
          <w:sz w:val="24"/>
          <w:szCs w:val="24"/>
          <w:lang w:val="hr-HR"/>
        </w:rPr>
      </w:pPr>
    </w:p>
    <w:p w14:paraId="0EA25958" w14:textId="77777777" w:rsidR="008B368B" w:rsidRDefault="008B368B" w:rsidP="00137E2C">
      <w:pPr>
        <w:spacing w:before="240" w:line="276" w:lineRule="auto"/>
        <w:jc w:val="both"/>
        <w:rPr>
          <w:sz w:val="24"/>
          <w:szCs w:val="24"/>
          <w:lang w:val="hr-HR"/>
        </w:rPr>
      </w:pPr>
    </w:p>
    <w:p w14:paraId="054A2C63" w14:textId="77777777" w:rsidR="008B368B" w:rsidRDefault="008B368B" w:rsidP="00137E2C">
      <w:pPr>
        <w:spacing w:before="240" w:line="276" w:lineRule="auto"/>
        <w:jc w:val="both"/>
        <w:rPr>
          <w:sz w:val="24"/>
          <w:szCs w:val="24"/>
          <w:lang w:val="hr-HR"/>
        </w:rPr>
      </w:pPr>
    </w:p>
    <w:p w14:paraId="099573E9" w14:textId="77777777" w:rsidR="008B368B" w:rsidRDefault="008B368B" w:rsidP="00137E2C">
      <w:pPr>
        <w:spacing w:before="240" w:line="276" w:lineRule="auto"/>
        <w:jc w:val="both"/>
        <w:rPr>
          <w:sz w:val="24"/>
          <w:szCs w:val="24"/>
          <w:lang w:val="hr-HR"/>
        </w:rPr>
      </w:pPr>
    </w:p>
    <w:p w14:paraId="458C6FFC" w14:textId="77777777" w:rsidR="008B368B" w:rsidRPr="007872AC" w:rsidRDefault="008B368B" w:rsidP="00137E2C">
      <w:pPr>
        <w:spacing w:before="240" w:line="276" w:lineRule="auto"/>
        <w:jc w:val="both"/>
        <w:rPr>
          <w:sz w:val="24"/>
          <w:szCs w:val="24"/>
          <w:lang w:val="hr-HR"/>
        </w:rPr>
      </w:pPr>
    </w:p>
    <w:p w14:paraId="37B0F52F" w14:textId="77777777" w:rsidR="007413F9" w:rsidRPr="003F5DB3" w:rsidRDefault="007413F9" w:rsidP="006B2F1F">
      <w:pPr>
        <w:pStyle w:val="Caption"/>
        <w:spacing w:before="240" w:line="276" w:lineRule="auto"/>
        <w:rPr>
          <w:bCs w:val="0"/>
          <w:i/>
          <w:sz w:val="24"/>
          <w:lang w:val="hr-HR"/>
        </w:rPr>
      </w:pPr>
      <w:bookmarkStart w:id="19" w:name="_Toc10032464"/>
      <w:r w:rsidRPr="003F5DB3">
        <w:rPr>
          <w:bCs w:val="0"/>
          <w:i/>
          <w:sz w:val="24"/>
          <w:lang w:val="hr-HR"/>
        </w:rPr>
        <w:lastRenderedPageBreak/>
        <w:t xml:space="preserve">Grafikon </w:t>
      </w:r>
      <w:r w:rsidRPr="003F5DB3">
        <w:rPr>
          <w:bCs w:val="0"/>
          <w:i/>
          <w:sz w:val="24"/>
          <w:lang w:val="hr-HR"/>
        </w:rPr>
        <w:fldChar w:fldCharType="begin"/>
      </w:r>
      <w:r w:rsidRPr="003F5DB3">
        <w:rPr>
          <w:bCs w:val="0"/>
          <w:i/>
          <w:sz w:val="24"/>
          <w:lang w:val="hr-HR"/>
        </w:rPr>
        <w:instrText xml:space="preserve"> SEQ Grafikon \* ARABIC </w:instrText>
      </w:r>
      <w:r w:rsidRPr="003F5DB3">
        <w:rPr>
          <w:bCs w:val="0"/>
          <w:i/>
          <w:sz w:val="24"/>
          <w:lang w:val="hr-HR"/>
        </w:rPr>
        <w:fldChar w:fldCharType="separate"/>
      </w:r>
      <w:r w:rsidR="00CE0BC8">
        <w:rPr>
          <w:bCs w:val="0"/>
          <w:i/>
          <w:noProof/>
          <w:sz w:val="24"/>
          <w:lang w:val="hr-HR"/>
        </w:rPr>
        <w:t>6</w:t>
      </w:r>
      <w:r w:rsidRPr="003F5DB3">
        <w:rPr>
          <w:bCs w:val="0"/>
          <w:i/>
          <w:sz w:val="24"/>
          <w:lang w:val="hr-HR"/>
        </w:rPr>
        <w:fldChar w:fldCharType="end"/>
      </w:r>
      <w:r w:rsidRPr="003F5DB3">
        <w:rPr>
          <w:bCs w:val="0"/>
          <w:i/>
          <w:sz w:val="24"/>
          <w:lang w:val="hr-HR"/>
        </w:rPr>
        <w:t>: Dospijeća dugoročnog državnog duga u razdoblju 201</w:t>
      </w:r>
      <w:r w:rsidR="007872AC">
        <w:rPr>
          <w:bCs w:val="0"/>
          <w:i/>
          <w:sz w:val="24"/>
          <w:lang w:val="hr-HR"/>
        </w:rPr>
        <w:t>9. - 2032</w:t>
      </w:r>
      <w:r w:rsidRPr="003F5DB3">
        <w:rPr>
          <w:bCs w:val="0"/>
          <w:i/>
          <w:sz w:val="24"/>
          <w:lang w:val="hr-HR"/>
        </w:rPr>
        <w:t>.</w:t>
      </w:r>
      <w:bookmarkEnd w:id="19"/>
      <w:r w:rsidRPr="003F5DB3">
        <w:rPr>
          <w:bCs w:val="0"/>
          <w:i/>
          <w:sz w:val="24"/>
          <w:lang w:val="hr-HR"/>
        </w:rPr>
        <w:t xml:space="preserve"> </w:t>
      </w:r>
    </w:p>
    <w:p w14:paraId="1ABACF5D" w14:textId="77777777" w:rsidR="00CD7A6E" w:rsidRPr="00025326" w:rsidRDefault="003F5DB3" w:rsidP="00B95A53">
      <w:pPr>
        <w:rPr>
          <w:highlight w:val="yellow"/>
          <w:lang w:val="hr-HR"/>
        </w:rPr>
      </w:pPr>
      <w:r>
        <w:rPr>
          <w:noProof/>
          <w:lang w:val="hr-HR" w:eastAsia="hr-HR"/>
        </w:rPr>
        <w:drawing>
          <wp:inline distT="0" distB="0" distL="0" distR="0" wp14:anchorId="3009C406" wp14:editId="01B1F479">
            <wp:extent cx="4822853" cy="3315896"/>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8122" cy="3319519"/>
                    </a:xfrm>
                    <a:prstGeom prst="rect">
                      <a:avLst/>
                    </a:prstGeom>
                    <a:noFill/>
                  </pic:spPr>
                </pic:pic>
              </a:graphicData>
            </a:graphic>
          </wp:inline>
        </w:drawing>
      </w:r>
    </w:p>
    <w:p w14:paraId="0BB1DA9C" w14:textId="77777777" w:rsidR="006B2F1F" w:rsidRDefault="006B2F1F" w:rsidP="00B95A53">
      <w:pPr>
        <w:rPr>
          <w:highlight w:val="yellow"/>
          <w:lang w:val="hr-HR"/>
        </w:rPr>
      </w:pPr>
    </w:p>
    <w:p w14:paraId="411C5283" w14:textId="77777777" w:rsidR="008B368B" w:rsidRPr="00025326" w:rsidRDefault="008B368B" w:rsidP="00B95A53">
      <w:pPr>
        <w:rPr>
          <w:highlight w:val="yellow"/>
          <w:lang w:val="hr-HR"/>
        </w:rPr>
      </w:pPr>
    </w:p>
    <w:p w14:paraId="76963C22" w14:textId="77777777" w:rsidR="00B71C90" w:rsidRPr="003F5DB3" w:rsidRDefault="00B71C90" w:rsidP="00F85C06">
      <w:pPr>
        <w:pStyle w:val="Heading2"/>
        <w:numPr>
          <w:ilvl w:val="1"/>
          <w:numId w:val="1"/>
        </w:numPr>
        <w:spacing w:after="240" w:line="276" w:lineRule="auto"/>
        <w:rPr>
          <w:lang w:val="hr-HR"/>
        </w:rPr>
      </w:pPr>
      <w:bookmarkStart w:id="20" w:name="_Toc10032429"/>
      <w:r w:rsidRPr="003F5DB3">
        <w:rPr>
          <w:lang w:val="hr-HR"/>
        </w:rPr>
        <w:t>Struktura državnog duga prema vrsti instrumenta</w:t>
      </w:r>
      <w:bookmarkEnd w:id="20"/>
    </w:p>
    <w:p w14:paraId="7C8DEEAA" w14:textId="77777777" w:rsidR="00B71C90" w:rsidRPr="000526C5" w:rsidRDefault="00B71C90" w:rsidP="00A37597">
      <w:pPr>
        <w:spacing w:line="276" w:lineRule="auto"/>
        <w:jc w:val="both"/>
        <w:rPr>
          <w:sz w:val="24"/>
          <w:szCs w:val="24"/>
          <w:lang w:val="hr-HR"/>
        </w:rPr>
      </w:pPr>
      <w:r w:rsidRPr="000526C5">
        <w:rPr>
          <w:rFonts w:cs="Times New Roman"/>
          <w:sz w:val="24"/>
          <w:szCs w:val="24"/>
          <w:lang w:val="hr-HR"/>
        </w:rPr>
        <w:t>Dug državnog proračuna obuhvaća dom</w:t>
      </w:r>
      <w:r w:rsidR="00885170">
        <w:rPr>
          <w:rFonts w:cs="Times New Roman"/>
          <w:sz w:val="24"/>
          <w:szCs w:val="24"/>
          <w:lang w:val="hr-HR"/>
        </w:rPr>
        <w:t>aći i inozemni dug. Domaći dug čine</w:t>
      </w:r>
      <w:r w:rsidRPr="000526C5">
        <w:rPr>
          <w:rFonts w:cs="Times New Roman"/>
          <w:sz w:val="24"/>
          <w:szCs w:val="24"/>
          <w:lang w:val="hr-HR"/>
        </w:rPr>
        <w:t xml:space="preserve"> obveznic</w:t>
      </w:r>
      <w:r w:rsidR="00885170">
        <w:rPr>
          <w:rFonts w:cs="Times New Roman"/>
          <w:sz w:val="24"/>
          <w:szCs w:val="24"/>
          <w:lang w:val="hr-HR"/>
        </w:rPr>
        <w:t>e</w:t>
      </w:r>
      <w:r w:rsidRPr="000526C5">
        <w:rPr>
          <w:rFonts w:cs="Times New Roman"/>
          <w:sz w:val="24"/>
          <w:szCs w:val="24"/>
          <w:lang w:val="hr-HR"/>
        </w:rPr>
        <w:t xml:space="preserve"> </w:t>
      </w:r>
      <w:r w:rsidR="00885170">
        <w:rPr>
          <w:rFonts w:cs="Times New Roman"/>
          <w:sz w:val="24"/>
          <w:szCs w:val="24"/>
          <w:lang w:val="hr-HR"/>
        </w:rPr>
        <w:t xml:space="preserve">i krediti </w:t>
      </w:r>
      <w:r w:rsidRPr="000526C5">
        <w:rPr>
          <w:rFonts w:cs="Times New Roman"/>
          <w:sz w:val="24"/>
          <w:szCs w:val="24"/>
          <w:lang w:val="hr-HR"/>
        </w:rPr>
        <w:t>na domaćem tržištu</w:t>
      </w:r>
      <w:r w:rsidR="00885170">
        <w:rPr>
          <w:rFonts w:cs="Times New Roman"/>
          <w:sz w:val="24"/>
          <w:szCs w:val="24"/>
          <w:lang w:val="hr-HR"/>
        </w:rPr>
        <w:t xml:space="preserve"> kapitala te</w:t>
      </w:r>
      <w:r w:rsidRPr="000526C5">
        <w:rPr>
          <w:rFonts w:cs="Times New Roman"/>
          <w:sz w:val="24"/>
          <w:szCs w:val="24"/>
          <w:lang w:val="hr-HR"/>
        </w:rPr>
        <w:t xml:space="preserve"> trezorski zapis</w:t>
      </w:r>
      <w:r w:rsidR="00885170">
        <w:rPr>
          <w:rFonts w:cs="Times New Roman"/>
          <w:sz w:val="24"/>
          <w:szCs w:val="24"/>
          <w:lang w:val="hr-HR"/>
        </w:rPr>
        <w:t>i</w:t>
      </w:r>
      <w:r w:rsidRPr="000526C5">
        <w:rPr>
          <w:rFonts w:cs="Times New Roman"/>
          <w:sz w:val="24"/>
          <w:szCs w:val="24"/>
          <w:lang w:val="hr-HR"/>
        </w:rPr>
        <w:t xml:space="preserve">, dok se inozemni dug sastoji od obveznica i kredita na međunarodnim financijskim tržištima. Kretanje duga državnog proračuna u razdoblju 2013. </w:t>
      </w:r>
      <w:r w:rsidR="003C3CAE">
        <w:rPr>
          <w:rFonts w:cs="Times New Roman"/>
          <w:sz w:val="24"/>
          <w:szCs w:val="24"/>
          <w:lang w:val="hr-HR"/>
        </w:rPr>
        <w:t>-</w:t>
      </w:r>
      <w:r w:rsidR="003C3CAE" w:rsidRPr="000526C5">
        <w:rPr>
          <w:rFonts w:cs="Times New Roman"/>
          <w:sz w:val="24"/>
          <w:szCs w:val="24"/>
          <w:lang w:val="hr-HR"/>
        </w:rPr>
        <w:t xml:space="preserve"> </w:t>
      </w:r>
      <w:r w:rsidRPr="000526C5">
        <w:rPr>
          <w:rFonts w:cs="Times New Roman"/>
          <w:sz w:val="24"/>
          <w:szCs w:val="24"/>
          <w:lang w:val="hr-HR"/>
        </w:rPr>
        <w:t xml:space="preserve">2018. </w:t>
      </w:r>
      <w:r w:rsidR="00885170">
        <w:rPr>
          <w:rFonts w:cs="Times New Roman"/>
          <w:sz w:val="24"/>
          <w:szCs w:val="24"/>
          <w:lang w:val="hr-HR"/>
        </w:rPr>
        <w:t>prikazano</w:t>
      </w:r>
      <w:r w:rsidRPr="000526C5">
        <w:rPr>
          <w:rFonts w:cs="Times New Roman"/>
          <w:sz w:val="24"/>
          <w:szCs w:val="24"/>
          <w:lang w:val="hr-HR"/>
        </w:rPr>
        <w:t xml:space="preserve"> je u</w:t>
      </w:r>
      <w:r w:rsidR="00885170">
        <w:rPr>
          <w:rFonts w:cs="Times New Roman"/>
          <w:sz w:val="24"/>
          <w:szCs w:val="24"/>
          <w:lang w:val="hr-HR"/>
        </w:rPr>
        <w:t xml:space="preserve"> Tablici 2.</w:t>
      </w:r>
    </w:p>
    <w:p w14:paraId="6C09FBF2" w14:textId="77777777" w:rsidR="00B71C90" w:rsidRPr="00D26228" w:rsidRDefault="00B71C90" w:rsidP="00B71C90">
      <w:pPr>
        <w:pStyle w:val="Caption"/>
        <w:spacing w:before="240" w:line="276" w:lineRule="auto"/>
        <w:rPr>
          <w:i/>
          <w:sz w:val="24"/>
          <w:lang w:val="hr-HR"/>
        </w:rPr>
      </w:pPr>
      <w:bookmarkStart w:id="21" w:name="_Toc10032446"/>
      <w:r w:rsidRPr="00D26228">
        <w:rPr>
          <w:i/>
          <w:sz w:val="24"/>
          <w:lang w:val="hr-HR"/>
        </w:rPr>
        <w:t xml:space="preserve">Tablica </w:t>
      </w:r>
      <w:r w:rsidRPr="00D26228">
        <w:rPr>
          <w:i/>
          <w:sz w:val="24"/>
          <w:lang w:val="hr-HR"/>
        </w:rPr>
        <w:fldChar w:fldCharType="begin"/>
      </w:r>
      <w:r w:rsidRPr="00D26228">
        <w:rPr>
          <w:i/>
          <w:sz w:val="24"/>
          <w:lang w:val="hr-HR"/>
        </w:rPr>
        <w:instrText xml:space="preserve"> SEQ Tablica \* ARABIC </w:instrText>
      </w:r>
      <w:r w:rsidRPr="00D26228">
        <w:rPr>
          <w:i/>
          <w:sz w:val="24"/>
          <w:lang w:val="hr-HR"/>
        </w:rPr>
        <w:fldChar w:fldCharType="separate"/>
      </w:r>
      <w:r w:rsidR="00CE0BC8">
        <w:rPr>
          <w:i/>
          <w:noProof/>
          <w:sz w:val="24"/>
          <w:lang w:val="hr-HR"/>
        </w:rPr>
        <w:t>2</w:t>
      </w:r>
      <w:r w:rsidRPr="00D26228">
        <w:rPr>
          <w:i/>
          <w:sz w:val="24"/>
          <w:lang w:val="hr-HR"/>
        </w:rPr>
        <w:fldChar w:fldCharType="end"/>
      </w:r>
      <w:r w:rsidRPr="00D26228">
        <w:rPr>
          <w:i/>
          <w:sz w:val="24"/>
          <w:lang w:val="hr-HR"/>
        </w:rPr>
        <w:t>: Državni dug prema vrsti instrumenata</w:t>
      </w:r>
      <w:bookmarkEnd w:id="21"/>
    </w:p>
    <w:p w14:paraId="56136D6C" w14:textId="77777777" w:rsidR="00B71C90" w:rsidRPr="00025326" w:rsidRDefault="00B71C90" w:rsidP="00B71C90">
      <w:pPr>
        <w:spacing w:line="276" w:lineRule="auto"/>
        <w:jc w:val="both"/>
        <w:rPr>
          <w:i/>
          <w:sz w:val="20"/>
          <w:szCs w:val="20"/>
          <w:highlight w:val="yellow"/>
          <w:lang w:val="hr-HR"/>
        </w:rPr>
      </w:pPr>
      <w:r w:rsidRPr="00D26228">
        <w:rPr>
          <w:noProof/>
          <w:lang w:val="hr-HR" w:eastAsia="hr-HR"/>
        </w:rPr>
        <w:drawing>
          <wp:inline distT="0" distB="0" distL="0" distR="0" wp14:anchorId="22FC74B7" wp14:editId="4A165125">
            <wp:extent cx="5759450" cy="1452419"/>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1452419"/>
                    </a:xfrm>
                    <a:prstGeom prst="rect">
                      <a:avLst/>
                    </a:prstGeom>
                    <a:noFill/>
                    <a:ln>
                      <a:noFill/>
                    </a:ln>
                  </pic:spPr>
                </pic:pic>
              </a:graphicData>
            </a:graphic>
          </wp:inline>
        </w:drawing>
      </w:r>
    </w:p>
    <w:p w14:paraId="4259A179" w14:textId="77777777" w:rsidR="00B71C90" w:rsidRPr="00D26228" w:rsidRDefault="00B71C90" w:rsidP="00B71C90">
      <w:pPr>
        <w:spacing w:line="276" w:lineRule="auto"/>
        <w:jc w:val="both"/>
        <w:rPr>
          <w:sz w:val="24"/>
          <w:lang w:val="hr-HR"/>
        </w:rPr>
      </w:pPr>
      <w:r w:rsidRPr="00D26228">
        <w:rPr>
          <w:i/>
          <w:sz w:val="20"/>
          <w:szCs w:val="20"/>
          <w:lang w:val="hr-HR"/>
        </w:rPr>
        <w:t>Izvor: Ministarstvo financija</w:t>
      </w:r>
    </w:p>
    <w:p w14:paraId="0394859D" w14:textId="194A4D21" w:rsidR="00B71C90" w:rsidRPr="001620A1" w:rsidRDefault="00B71C90" w:rsidP="00B73FD8">
      <w:pPr>
        <w:spacing w:before="240" w:line="276" w:lineRule="auto"/>
        <w:jc w:val="both"/>
        <w:rPr>
          <w:sz w:val="24"/>
          <w:lang w:val="hr-HR"/>
        </w:rPr>
      </w:pPr>
      <w:r w:rsidRPr="001620A1">
        <w:rPr>
          <w:sz w:val="24"/>
          <w:lang w:val="hr-HR"/>
        </w:rPr>
        <w:t xml:space="preserve">U strukturi </w:t>
      </w:r>
      <w:r>
        <w:rPr>
          <w:sz w:val="24"/>
          <w:lang w:val="hr-HR"/>
        </w:rPr>
        <w:t xml:space="preserve">državnog </w:t>
      </w:r>
      <w:r w:rsidRPr="001620A1">
        <w:rPr>
          <w:sz w:val="24"/>
          <w:lang w:val="hr-HR"/>
        </w:rPr>
        <w:t>duga dolazi do</w:t>
      </w:r>
      <w:r>
        <w:rPr>
          <w:sz w:val="24"/>
          <w:lang w:val="hr-HR"/>
        </w:rPr>
        <w:t xml:space="preserve"> povećanja</w:t>
      </w:r>
      <w:r w:rsidRPr="001620A1">
        <w:rPr>
          <w:sz w:val="24"/>
          <w:lang w:val="hr-HR"/>
        </w:rPr>
        <w:t xml:space="preserve"> komponente domaćeg duga</w:t>
      </w:r>
      <w:r w:rsidR="00664B14">
        <w:rPr>
          <w:sz w:val="24"/>
          <w:lang w:val="hr-HR"/>
        </w:rPr>
        <w:t xml:space="preserve"> za 1,7 postotn</w:t>
      </w:r>
      <w:r w:rsidR="00FF32A3">
        <w:rPr>
          <w:sz w:val="24"/>
          <w:lang w:val="hr-HR"/>
        </w:rPr>
        <w:t>ih</w:t>
      </w:r>
      <w:r w:rsidR="00664B14">
        <w:rPr>
          <w:sz w:val="24"/>
          <w:lang w:val="hr-HR"/>
        </w:rPr>
        <w:t xml:space="preserve"> </w:t>
      </w:r>
      <w:r w:rsidR="003C3CAE">
        <w:rPr>
          <w:sz w:val="24"/>
          <w:lang w:val="hr-HR"/>
        </w:rPr>
        <w:t>bod</w:t>
      </w:r>
      <w:r w:rsidR="00FF32A3">
        <w:rPr>
          <w:sz w:val="24"/>
          <w:lang w:val="hr-HR"/>
        </w:rPr>
        <w:t>ov</w:t>
      </w:r>
      <w:r w:rsidR="003C3CAE">
        <w:rPr>
          <w:sz w:val="24"/>
          <w:lang w:val="hr-HR"/>
        </w:rPr>
        <w:t>a</w:t>
      </w:r>
      <w:r w:rsidR="00664B14">
        <w:rPr>
          <w:sz w:val="24"/>
          <w:lang w:val="hr-HR"/>
        </w:rPr>
        <w:t>, odnosno</w:t>
      </w:r>
      <w:r>
        <w:rPr>
          <w:sz w:val="24"/>
          <w:lang w:val="hr-HR"/>
        </w:rPr>
        <w:t xml:space="preserve"> s</w:t>
      </w:r>
      <w:r w:rsidRPr="001620A1">
        <w:rPr>
          <w:sz w:val="24"/>
          <w:lang w:val="hr-HR"/>
        </w:rPr>
        <w:t xml:space="preserve"> </w:t>
      </w:r>
      <w:r>
        <w:rPr>
          <w:sz w:val="24"/>
          <w:lang w:val="hr-HR"/>
        </w:rPr>
        <w:t>5</w:t>
      </w:r>
      <w:r w:rsidR="00692503">
        <w:rPr>
          <w:sz w:val="24"/>
          <w:lang w:val="hr-HR"/>
        </w:rPr>
        <w:t>6,5</w:t>
      </w:r>
      <w:r w:rsidRPr="001620A1">
        <w:rPr>
          <w:sz w:val="24"/>
          <w:lang w:val="hr-HR"/>
        </w:rPr>
        <w:t>%</w:t>
      </w:r>
      <w:r>
        <w:rPr>
          <w:sz w:val="24"/>
          <w:lang w:val="hr-HR"/>
        </w:rPr>
        <w:t xml:space="preserve"> </w:t>
      </w:r>
      <w:r w:rsidR="00FF32A3">
        <w:rPr>
          <w:sz w:val="24"/>
          <w:lang w:val="hr-HR"/>
        </w:rPr>
        <w:t xml:space="preserve">krajem </w:t>
      </w:r>
      <w:r w:rsidRPr="001620A1">
        <w:rPr>
          <w:sz w:val="24"/>
          <w:lang w:val="hr-HR"/>
        </w:rPr>
        <w:t>201</w:t>
      </w:r>
      <w:r w:rsidR="00692503">
        <w:rPr>
          <w:sz w:val="24"/>
          <w:lang w:val="hr-HR"/>
        </w:rPr>
        <w:t>7</w:t>
      </w:r>
      <w:r w:rsidRPr="001620A1">
        <w:rPr>
          <w:sz w:val="24"/>
          <w:lang w:val="hr-HR"/>
        </w:rPr>
        <w:t>. na 5</w:t>
      </w:r>
      <w:r>
        <w:rPr>
          <w:sz w:val="24"/>
          <w:lang w:val="hr-HR"/>
        </w:rPr>
        <w:t>8,2</w:t>
      </w:r>
      <w:r w:rsidRPr="001620A1">
        <w:rPr>
          <w:sz w:val="24"/>
          <w:lang w:val="hr-HR"/>
        </w:rPr>
        <w:t>%</w:t>
      </w:r>
      <w:r w:rsidR="00FF32A3">
        <w:rPr>
          <w:sz w:val="24"/>
          <w:lang w:val="hr-HR"/>
        </w:rPr>
        <w:t xml:space="preserve"> krajem 2018. godine</w:t>
      </w:r>
      <w:r w:rsidR="00692503">
        <w:rPr>
          <w:sz w:val="24"/>
          <w:lang w:val="hr-HR"/>
        </w:rPr>
        <w:t>.</w:t>
      </w:r>
      <w:r w:rsidRPr="001620A1">
        <w:rPr>
          <w:sz w:val="24"/>
          <w:lang w:val="hr-HR"/>
        </w:rPr>
        <w:t xml:space="preserve"> </w:t>
      </w:r>
      <w:r w:rsidR="00FF32A3">
        <w:rPr>
          <w:sz w:val="24"/>
          <w:lang w:val="hr-HR"/>
        </w:rPr>
        <w:t>U isto vrijeme, u</w:t>
      </w:r>
      <w:r w:rsidRPr="001620A1">
        <w:rPr>
          <w:sz w:val="24"/>
          <w:lang w:val="hr-HR"/>
        </w:rPr>
        <w:t xml:space="preserve">dio inozemnog duga </w:t>
      </w:r>
      <w:r w:rsidR="00642C3B">
        <w:rPr>
          <w:sz w:val="24"/>
          <w:lang w:val="hr-HR"/>
        </w:rPr>
        <w:t xml:space="preserve">u </w:t>
      </w:r>
      <w:r w:rsidR="00642C3B" w:rsidRPr="001620A1">
        <w:rPr>
          <w:sz w:val="24"/>
          <w:lang w:val="hr-HR"/>
        </w:rPr>
        <w:t>ukupno</w:t>
      </w:r>
      <w:r w:rsidR="00642C3B">
        <w:rPr>
          <w:sz w:val="24"/>
          <w:lang w:val="hr-HR"/>
        </w:rPr>
        <w:t>m</w:t>
      </w:r>
      <w:r w:rsidR="00642C3B" w:rsidRPr="001620A1">
        <w:rPr>
          <w:sz w:val="24"/>
          <w:lang w:val="hr-HR"/>
        </w:rPr>
        <w:t xml:space="preserve"> državno</w:t>
      </w:r>
      <w:r w:rsidR="00642C3B">
        <w:rPr>
          <w:sz w:val="24"/>
          <w:lang w:val="hr-HR"/>
        </w:rPr>
        <w:t>m</w:t>
      </w:r>
      <w:r w:rsidR="00642C3B" w:rsidRPr="001620A1">
        <w:rPr>
          <w:sz w:val="24"/>
          <w:lang w:val="hr-HR"/>
        </w:rPr>
        <w:t xml:space="preserve"> dug</w:t>
      </w:r>
      <w:r w:rsidR="00642C3B">
        <w:rPr>
          <w:sz w:val="24"/>
          <w:lang w:val="hr-HR"/>
        </w:rPr>
        <w:t xml:space="preserve">u </w:t>
      </w:r>
      <w:r w:rsidR="00FF32A3">
        <w:rPr>
          <w:sz w:val="24"/>
          <w:lang w:val="hr-HR"/>
        </w:rPr>
        <w:t xml:space="preserve">se </w:t>
      </w:r>
      <w:r w:rsidR="00642C3B">
        <w:rPr>
          <w:sz w:val="24"/>
          <w:lang w:val="hr-HR"/>
        </w:rPr>
        <w:t xml:space="preserve">smanjio </w:t>
      </w:r>
      <w:r w:rsidRPr="001620A1">
        <w:rPr>
          <w:sz w:val="24"/>
          <w:lang w:val="hr-HR"/>
        </w:rPr>
        <w:t xml:space="preserve">s </w:t>
      </w:r>
      <w:r>
        <w:rPr>
          <w:sz w:val="24"/>
          <w:lang w:val="hr-HR"/>
        </w:rPr>
        <w:t>4</w:t>
      </w:r>
      <w:r w:rsidR="00642C3B">
        <w:rPr>
          <w:sz w:val="24"/>
          <w:lang w:val="hr-HR"/>
        </w:rPr>
        <w:t>3,5</w:t>
      </w:r>
      <w:r w:rsidRPr="001620A1">
        <w:rPr>
          <w:sz w:val="24"/>
          <w:lang w:val="hr-HR"/>
        </w:rPr>
        <w:t>%</w:t>
      </w:r>
      <w:r w:rsidR="00642C3B">
        <w:rPr>
          <w:sz w:val="24"/>
          <w:lang w:val="hr-HR"/>
        </w:rPr>
        <w:t xml:space="preserve"> </w:t>
      </w:r>
      <w:r w:rsidR="00FF32A3">
        <w:rPr>
          <w:sz w:val="24"/>
          <w:lang w:val="hr-HR"/>
        </w:rPr>
        <w:t>krajem</w:t>
      </w:r>
      <w:r w:rsidR="00642C3B">
        <w:rPr>
          <w:sz w:val="24"/>
          <w:lang w:val="hr-HR"/>
        </w:rPr>
        <w:t xml:space="preserve"> 2017. godine</w:t>
      </w:r>
      <w:r w:rsidRPr="001620A1">
        <w:rPr>
          <w:sz w:val="24"/>
          <w:lang w:val="hr-HR"/>
        </w:rPr>
        <w:t xml:space="preserve"> na 4</w:t>
      </w:r>
      <w:r>
        <w:rPr>
          <w:sz w:val="24"/>
          <w:lang w:val="hr-HR"/>
        </w:rPr>
        <w:t>1,8</w:t>
      </w:r>
      <w:r w:rsidRPr="001620A1">
        <w:rPr>
          <w:sz w:val="24"/>
          <w:lang w:val="hr-HR"/>
        </w:rPr>
        <w:t>%</w:t>
      </w:r>
      <w:r w:rsidR="00FF32A3">
        <w:rPr>
          <w:sz w:val="24"/>
          <w:lang w:val="hr-HR"/>
        </w:rPr>
        <w:t xml:space="preserve"> krajem 2018. godine</w:t>
      </w:r>
      <w:r w:rsidR="00642C3B">
        <w:rPr>
          <w:sz w:val="24"/>
          <w:lang w:val="hr-HR"/>
        </w:rPr>
        <w:t>.</w:t>
      </w:r>
    </w:p>
    <w:p w14:paraId="73D685AA" w14:textId="527DA834" w:rsidR="00B71C90" w:rsidRDefault="00B71C90" w:rsidP="00A37597">
      <w:pPr>
        <w:spacing w:before="240" w:line="276" w:lineRule="auto"/>
        <w:jc w:val="both"/>
        <w:rPr>
          <w:sz w:val="24"/>
          <w:lang w:val="hr-HR"/>
        </w:rPr>
      </w:pPr>
      <w:r w:rsidRPr="001620A1">
        <w:rPr>
          <w:sz w:val="24"/>
          <w:lang w:val="hr-HR"/>
        </w:rPr>
        <w:lastRenderedPageBreak/>
        <w:t xml:space="preserve">Gledajući prema instrumentima zaduživanja, najveći dio državnog duga </w:t>
      </w:r>
      <w:r w:rsidR="00FF32A3">
        <w:rPr>
          <w:sz w:val="24"/>
          <w:lang w:val="hr-HR"/>
        </w:rPr>
        <w:t>krajem</w:t>
      </w:r>
      <w:r>
        <w:rPr>
          <w:sz w:val="24"/>
          <w:lang w:val="hr-HR"/>
        </w:rPr>
        <w:t xml:space="preserve"> 2018. </w:t>
      </w:r>
      <w:r w:rsidR="008B4584">
        <w:rPr>
          <w:sz w:val="24"/>
          <w:lang w:val="hr-HR"/>
        </w:rPr>
        <w:t>g</w:t>
      </w:r>
      <w:r>
        <w:rPr>
          <w:sz w:val="24"/>
          <w:lang w:val="hr-HR"/>
        </w:rPr>
        <w:t xml:space="preserve">odine činio je dug </w:t>
      </w:r>
      <w:r w:rsidRPr="001620A1">
        <w:rPr>
          <w:sz w:val="24"/>
          <w:lang w:val="hr-HR"/>
        </w:rPr>
        <w:t xml:space="preserve">nastao zaduživanjem putem dugoročnih vrijednosnih papira, odnosno obveznica </w:t>
      </w:r>
      <w:r w:rsidR="00FF32A3">
        <w:rPr>
          <w:sz w:val="24"/>
          <w:lang w:val="hr-HR"/>
        </w:rPr>
        <w:t xml:space="preserve">i to </w:t>
      </w:r>
      <w:r w:rsidR="00664B14">
        <w:rPr>
          <w:sz w:val="24"/>
          <w:lang w:val="hr-HR"/>
        </w:rPr>
        <w:t xml:space="preserve">sa </w:t>
      </w:r>
      <w:r w:rsidRPr="001620A1">
        <w:rPr>
          <w:sz w:val="24"/>
          <w:lang w:val="hr-HR"/>
        </w:rPr>
        <w:t>7</w:t>
      </w:r>
      <w:r>
        <w:rPr>
          <w:sz w:val="24"/>
          <w:lang w:val="hr-HR"/>
        </w:rPr>
        <w:t>3,9</w:t>
      </w:r>
      <w:r w:rsidRPr="001620A1">
        <w:rPr>
          <w:sz w:val="24"/>
          <w:lang w:val="hr-HR"/>
        </w:rPr>
        <w:t>%,</w:t>
      </w:r>
      <w:r w:rsidR="00664B14">
        <w:rPr>
          <w:sz w:val="24"/>
          <w:lang w:val="hr-HR"/>
        </w:rPr>
        <w:t xml:space="preserve"> zatim</w:t>
      </w:r>
      <w:r w:rsidRPr="001620A1">
        <w:rPr>
          <w:sz w:val="24"/>
          <w:lang w:val="hr-HR"/>
        </w:rPr>
        <w:t xml:space="preserve"> putem kredita </w:t>
      </w:r>
      <w:r w:rsidR="00664B14">
        <w:rPr>
          <w:sz w:val="24"/>
          <w:lang w:val="hr-HR"/>
        </w:rPr>
        <w:t xml:space="preserve">s </w:t>
      </w:r>
      <w:r w:rsidRPr="001620A1">
        <w:rPr>
          <w:sz w:val="24"/>
          <w:lang w:val="hr-HR"/>
        </w:rPr>
        <w:t>1</w:t>
      </w:r>
      <w:r>
        <w:rPr>
          <w:sz w:val="24"/>
          <w:lang w:val="hr-HR"/>
        </w:rPr>
        <w:t>3,4</w:t>
      </w:r>
      <w:r w:rsidRPr="001620A1">
        <w:rPr>
          <w:sz w:val="24"/>
          <w:lang w:val="hr-HR"/>
        </w:rPr>
        <w:t>%</w:t>
      </w:r>
      <w:r w:rsidR="00664B14">
        <w:rPr>
          <w:sz w:val="24"/>
          <w:lang w:val="hr-HR"/>
        </w:rPr>
        <w:t xml:space="preserve"> te</w:t>
      </w:r>
      <w:r w:rsidRPr="001620A1">
        <w:rPr>
          <w:sz w:val="24"/>
          <w:lang w:val="hr-HR"/>
        </w:rPr>
        <w:t xml:space="preserve"> kratkoročnih vrijednosnih papira</w:t>
      </w:r>
      <w:r w:rsidR="00664B14">
        <w:rPr>
          <w:sz w:val="24"/>
          <w:lang w:val="hr-HR"/>
        </w:rPr>
        <w:t>, odnosno trezorskih zapisa</w:t>
      </w:r>
      <w:r w:rsidRPr="001620A1">
        <w:rPr>
          <w:sz w:val="24"/>
          <w:lang w:val="hr-HR"/>
        </w:rPr>
        <w:t xml:space="preserve"> </w:t>
      </w:r>
      <w:r w:rsidR="00664B14">
        <w:rPr>
          <w:sz w:val="24"/>
          <w:lang w:val="hr-HR"/>
        </w:rPr>
        <w:t xml:space="preserve">s </w:t>
      </w:r>
      <w:r w:rsidRPr="001620A1">
        <w:rPr>
          <w:sz w:val="24"/>
          <w:lang w:val="hr-HR"/>
        </w:rPr>
        <w:t>12,</w:t>
      </w:r>
      <w:r>
        <w:rPr>
          <w:sz w:val="24"/>
          <w:lang w:val="hr-HR"/>
        </w:rPr>
        <w:t>7</w:t>
      </w:r>
      <w:r w:rsidRPr="001620A1">
        <w:rPr>
          <w:sz w:val="24"/>
          <w:lang w:val="hr-HR"/>
        </w:rPr>
        <w:t>%.</w:t>
      </w:r>
    </w:p>
    <w:p w14:paraId="07D2BC5A" w14:textId="77777777" w:rsidR="008B368B" w:rsidRPr="001620A1" w:rsidRDefault="008B368B" w:rsidP="00A37597">
      <w:pPr>
        <w:spacing w:before="240" w:line="276" w:lineRule="auto"/>
        <w:jc w:val="both"/>
        <w:rPr>
          <w:sz w:val="24"/>
          <w:lang w:val="hr-HR"/>
        </w:rPr>
      </w:pPr>
    </w:p>
    <w:p w14:paraId="3A908A42" w14:textId="77777777" w:rsidR="00150899" w:rsidRPr="00DF23F9" w:rsidRDefault="00150899"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 xml:space="preserve">Trezorski zapisi </w:t>
      </w:r>
    </w:p>
    <w:p w14:paraId="5614DD58" w14:textId="77777777" w:rsidR="007872AC" w:rsidRPr="007872AC" w:rsidRDefault="007872AC" w:rsidP="00C46D3B">
      <w:pPr>
        <w:spacing w:after="240" w:line="276" w:lineRule="auto"/>
        <w:jc w:val="both"/>
        <w:rPr>
          <w:rFonts w:eastAsia="Times New Roman" w:cs="Times New Roman"/>
          <w:snapToGrid w:val="0"/>
          <w:sz w:val="24"/>
          <w:szCs w:val="24"/>
          <w:lang w:val="hr-HR"/>
        </w:rPr>
      </w:pPr>
      <w:r w:rsidRPr="007872AC">
        <w:rPr>
          <w:rFonts w:eastAsia="Times New Roman" w:cs="Times New Roman"/>
          <w:snapToGrid w:val="0"/>
          <w:sz w:val="24"/>
          <w:szCs w:val="24"/>
          <w:lang w:val="hr-HR"/>
        </w:rPr>
        <w:t xml:space="preserve">Ministarstvo financija provodi aukcije trezorskih zapisa u skladu s Pravilima i uvjetima aukcija trezorskih zapisa, koristeći se elektroničkim aukcijskim sustavom Bloomberg (BAS). </w:t>
      </w:r>
    </w:p>
    <w:p w14:paraId="797C4ADD" w14:textId="73440648" w:rsidR="007872AC" w:rsidRPr="007872AC" w:rsidRDefault="007872AC" w:rsidP="007872AC">
      <w:pPr>
        <w:tabs>
          <w:tab w:val="left" w:pos="360"/>
        </w:tabs>
        <w:spacing w:line="276" w:lineRule="auto"/>
        <w:jc w:val="both"/>
        <w:rPr>
          <w:rFonts w:eastAsia="Times New Roman" w:cs="Times New Roman"/>
          <w:sz w:val="24"/>
          <w:szCs w:val="24"/>
          <w:lang w:val="hr-HR" w:eastAsia="hr-HR"/>
        </w:rPr>
      </w:pPr>
      <w:r w:rsidRPr="007872AC">
        <w:rPr>
          <w:rFonts w:eastAsia="Times New Roman" w:cs="Times New Roman"/>
          <w:sz w:val="24"/>
          <w:szCs w:val="24"/>
          <w:lang w:val="hr-HR" w:eastAsia="hr-HR"/>
        </w:rPr>
        <w:t xml:space="preserve">Na aukcijama trezorskih zapisa najveći je interes </w:t>
      </w:r>
      <w:r w:rsidR="002263BE">
        <w:rPr>
          <w:rFonts w:eastAsia="Times New Roman" w:cs="Times New Roman"/>
          <w:sz w:val="24"/>
          <w:szCs w:val="24"/>
          <w:lang w:val="hr-HR" w:eastAsia="hr-HR"/>
        </w:rPr>
        <w:t>za</w:t>
      </w:r>
      <w:r w:rsidRPr="007872AC">
        <w:rPr>
          <w:rFonts w:eastAsia="Times New Roman" w:cs="Times New Roman"/>
          <w:sz w:val="24"/>
          <w:szCs w:val="24"/>
          <w:lang w:val="hr-HR" w:eastAsia="hr-HR"/>
        </w:rPr>
        <w:t xml:space="preserve"> trezorske zapise s ro</w:t>
      </w:r>
      <w:r w:rsidR="00C46D3B">
        <w:rPr>
          <w:rFonts w:eastAsia="Times New Roman" w:cs="Times New Roman"/>
          <w:sz w:val="24"/>
          <w:szCs w:val="24"/>
          <w:lang w:val="hr-HR" w:eastAsia="hr-HR"/>
        </w:rPr>
        <w:t>kom dospijeća od 364 dana. U</w:t>
      </w:r>
      <w:r w:rsidRPr="007872AC">
        <w:rPr>
          <w:rFonts w:eastAsia="Times New Roman" w:cs="Times New Roman"/>
          <w:sz w:val="24"/>
          <w:szCs w:val="24"/>
          <w:lang w:val="hr-HR" w:eastAsia="hr-HR"/>
        </w:rPr>
        <w:t xml:space="preserve"> ukupnom nominalnom iznosu </w:t>
      </w:r>
      <w:r w:rsidR="002263BE">
        <w:rPr>
          <w:rFonts w:eastAsia="Times New Roman" w:cs="Times New Roman"/>
          <w:sz w:val="24"/>
          <w:szCs w:val="24"/>
          <w:lang w:val="hr-HR" w:eastAsia="hr-HR"/>
        </w:rPr>
        <w:t>upisanih</w:t>
      </w:r>
      <w:r w:rsidRPr="007872AC">
        <w:rPr>
          <w:rFonts w:eastAsia="Times New Roman" w:cs="Times New Roman"/>
          <w:sz w:val="24"/>
          <w:szCs w:val="24"/>
          <w:lang w:val="hr-HR" w:eastAsia="hr-HR"/>
        </w:rPr>
        <w:t xml:space="preserve"> trezorskih zapisa od 30,</w:t>
      </w:r>
      <w:r w:rsidR="00FF32A3">
        <w:rPr>
          <w:rFonts w:eastAsia="Times New Roman" w:cs="Times New Roman"/>
          <w:sz w:val="24"/>
          <w:szCs w:val="24"/>
          <w:lang w:val="hr-HR" w:eastAsia="hr-HR"/>
        </w:rPr>
        <w:t>2</w:t>
      </w:r>
      <w:r w:rsidRPr="007872AC">
        <w:rPr>
          <w:rFonts w:eastAsia="Times New Roman" w:cs="Times New Roman"/>
          <w:sz w:val="24"/>
          <w:szCs w:val="24"/>
          <w:lang w:val="hr-HR" w:eastAsia="hr-HR"/>
        </w:rPr>
        <w:t xml:space="preserve"> milijard</w:t>
      </w:r>
      <w:r w:rsidR="00FF32A3">
        <w:rPr>
          <w:rFonts w:eastAsia="Times New Roman" w:cs="Times New Roman"/>
          <w:sz w:val="24"/>
          <w:szCs w:val="24"/>
          <w:lang w:val="hr-HR" w:eastAsia="hr-HR"/>
        </w:rPr>
        <w:t>e</w:t>
      </w:r>
      <w:r w:rsidRPr="007872AC">
        <w:rPr>
          <w:rFonts w:eastAsia="Times New Roman" w:cs="Times New Roman"/>
          <w:sz w:val="24"/>
          <w:szCs w:val="24"/>
          <w:lang w:val="hr-HR" w:eastAsia="hr-HR"/>
        </w:rPr>
        <w:t xml:space="preserve"> kuna, udio trezorskih zapisa s rokom dospijeća od 364 dana </w:t>
      </w:r>
      <w:r w:rsidR="00FF32A3">
        <w:rPr>
          <w:rFonts w:eastAsia="Times New Roman" w:cs="Times New Roman"/>
          <w:sz w:val="24"/>
          <w:szCs w:val="24"/>
          <w:lang w:val="hr-HR" w:eastAsia="hr-HR"/>
        </w:rPr>
        <w:t>krajem</w:t>
      </w:r>
      <w:r w:rsidRPr="007872AC">
        <w:rPr>
          <w:rFonts w:eastAsia="Times New Roman" w:cs="Times New Roman"/>
          <w:sz w:val="24"/>
          <w:szCs w:val="24"/>
          <w:lang w:val="hr-HR" w:eastAsia="hr-HR"/>
        </w:rPr>
        <w:t xml:space="preserve"> 2018. godine </w:t>
      </w:r>
      <w:r w:rsidR="00FF32A3">
        <w:rPr>
          <w:rFonts w:eastAsia="Times New Roman" w:cs="Times New Roman"/>
          <w:sz w:val="24"/>
          <w:szCs w:val="24"/>
          <w:lang w:val="hr-HR" w:eastAsia="hr-HR"/>
        </w:rPr>
        <w:t xml:space="preserve">iznosio </w:t>
      </w:r>
      <w:r w:rsidR="00C46D3B">
        <w:rPr>
          <w:rFonts w:eastAsia="Times New Roman" w:cs="Times New Roman"/>
          <w:sz w:val="24"/>
          <w:szCs w:val="24"/>
          <w:lang w:val="hr-HR" w:eastAsia="hr-HR"/>
        </w:rPr>
        <w:t>je</w:t>
      </w:r>
      <w:r w:rsidRPr="007872AC">
        <w:rPr>
          <w:rFonts w:eastAsia="Times New Roman" w:cs="Times New Roman"/>
          <w:sz w:val="24"/>
          <w:szCs w:val="24"/>
          <w:lang w:val="hr-HR" w:eastAsia="hr-HR"/>
        </w:rPr>
        <w:t xml:space="preserve"> </w:t>
      </w:r>
      <w:r w:rsidRPr="00FF32A3">
        <w:rPr>
          <w:rFonts w:eastAsia="Times New Roman" w:cs="Times New Roman"/>
          <w:sz w:val="24"/>
          <w:szCs w:val="24"/>
          <w:lang w:val="hr-HR" w:eastAsia="hr-HR"/>
        </w:rPr>
        <w:t>63,1%.</w:t>
      </w:r>
      <w:r w:rsidRPr="007872AC">
        <w:rPr>
          <w:rFonts w:eastAsia="Times New Roman" w:cs="Times New Roman"/>
          <w:sz w:val="24"/>
          <w:szCs w:val="24"/>
          <w:lang w:val="hr-HR" w:eastAsia="hr-HR"/>
        </w:rPr>
        <w:t xml:space="preserve"> Struktura upisanih trezorskih zapisa na dan 31. prosinca 2018. godine prikazan</w:t>
      </w:r>
      <w:r w:rsidR="002263BE">
        <w:rPr>
          <w:rFonts w:eastAsia="Times New Roman" w:cs="Times New Roman"/>
          <w:sz w:val="24"/>
          <w:szCs w:val="24"/>
          <w:lang w:val="hr-HR" w:eastAsia="hr-HR"/>
        </w:rPr>
        <w:t>a je</w:t>
      </w:r>
      <w:r w:rsidRPr="007872AC">
        <w:rPr>
          <w:rFonts w:eastAsia="Times New Roman" w:cs="Times New Roman"/>
          <w:sz w:val="24"/>
          <w:szCs w:val="24"/>
          <w:lang w:val="hr-HR" w:eastAsia="hr-HR"/>
        </w:rPr>
        <w:t xml:space="preserve"> </w:t>
      </w:r>
      <w:r>
        <w:rPr>
          <w:rFonts w:eastAsia="Times New Roman" w:cs="Times New Roman"/>
          <w:sz w:val="24"/>
          <w:szCs w:val="24"/>
          <w:lang w:val="hr-HR" w:eastAsia="hr-HR"/>
        </w:rPr>
        <w:t>Grafikonom 7</w:t>
      </w:r>
      <w:r w:rsidRPr="007872AC">
        <w:rPr>
          <w:rFonts w:eastAsia="Times New Roman" w:cs="Times New Roman"/>
          <w:sz w:val="24"/>
          <w:szCs w:val="24"/>
          <w:lang w:val="hr-HR" w:eastAsia="hr-HR"/>
        </w:rPr>
        <w:t>.</w:t>
      </w:r>
    </w:p>
    <w:p w14:paraId="3050EE95" w14:textId="77777777" w:rsidR="007413F9" w:rsidRPr="008B4584" w:rsidRDefault="007413F9" w:rsidP="007413F9">
      <w:pPr>
        <w:pStyle w:val="Caption"/>
        <w:spacing w:before="240" w:line="276" w:lineRule="auto"/>
        <w:rPr>
          <w:bCs w:val="0"/>
          <w:i/>
          <w:sz w:val="24"/>
          <w:lang w:val="hr-HR"/>
        </w:rPr>
      </w:pPr>
      <w:bookmarkStart w:id="22" w:name="_Toc10032465"/>
      <w:r w:rsidRPr="008B4584">
        <w:rPr>
          <w:bCs w:val="0"/>
          <w:i/>
          <w:sz w:val="24"/>
          <w:lang w:val="hr-HR"/>
        </w:rPr>
        <w:t xml:space="preserve">Grafikon </w:t>
      </w:r>
      <w:r w:rsidRPr="008B4584">
        <w:rPr>
          <w:bCs w:val="0"/>
          <w:i/>
          <w:sz w:val="24"/>
          <w:lang w:val="hr-HR"/>
        </w:rPr>
        <w:fldChar w:fldCharType="begin"/>
      </w:r>
      <w:r w:rsidRPr="008B4584">
        <w:rPr>
          <w:bCs w:val="0"/>
          <w:i/>
          <w:sz w:val="24"/>
          <w:lang w:val="hr-HR"/>
        </w:rPr>
        <w:instrText xml:space="preserve"> SEQ Grafikon \* ARABIC </w:instrText>
      </w:r>
      <w:r w:rsidRPr="008B4584">
        <w:rPr>
          <w:bCs w:val="0"/>
          <w:i/>
          <w:sz w:val="24"/>
          <w:lang w:val="hr-HR"/>
        </w:rPr>
        <w:fldChar w:fldCharType="separate"/>
      </w:r>
      <w:r w:rsidR="00CE0BC8">
        <w:rPr>
          <w:bCs w:val="0"/>
          <w:i/>
          <w:noProof/>
          <w:sz w:val="24"/>
          <w:lang w:val="hr-HR"/>
        </w:rPr>
        <w:t>7</w:t>
      </w:r>
      <w:r w:rsidRPr="008B4584">
        <w:rPr>
          <w:bCs w:val="0"/>
          <w:i/>
          <w:sz w:val="24"/>
          <w:lang w:val="hr-HR"/>
        </w:rPr>
        <w:fldChar w:fldCharType="end"/>
      </w:r>
      <w:r w:rsidRPr="008B4584">
        <w:rPr>
          <w:bCs w:val="0"/>
          <w:i/>
          <w:sz w:val="24"/>
          <w:lang w:val="hr-HR"/>
        </w:rPr>
        <w:t>: Struktura trezorskih zapisa na dan 31. prosinca 201</w:t>
      </w:r>
      <w:r w:rsidR="008B4584" w:rsidRPr="008B4584">
        <w:rPr>
          <w:bCs w:val="0"/>
          <w:i/>
          <w:sz w:val="24"/>
          <w:lang w:val="hr-HR"/>
        </w:rPr>
        <w:t>8</w:t>
      </w:r>
      <w:r w:rsidRPr="008B4584">
        <w:rPr>
          <w:bCs w:val="0"/>
          <w:i/>
          <w:sz w:val="24"/>
          <w:lang w:val="hr-HR"/>
        </w:rPr>
        <w:t>.</w:t>
      </w:r>
      <w:bookmarkEnd w:id="22"/>
      <w:r w:rsidRPr="008B4584">
        <w:rPr>
          <w:bCs w:val="0"/>
          <w:i/>
          <w:sz w:val="24"/>
          <w:lang w:val="hr-HR"/>
        </w:rPr>
        <w:t xml:space="preserve"> </w:t>
      </w:r>
    </w:p>
    <w:p w14:paraId="2BDD8BFE" w14:textId="77777777" w:rsidR="00DF6E05" w:rsidRDefault="008B4584" w:rsidP="006B2F1F">
      <w:pPr>
        <w:rPr>
          <w:highlight w:val="yellow"/>
          <w:lang w:val="hr-HR"/>
        </w:rPr>
      </w:pPr>
      <w:r>
        <w:rPr>
          <w:noProof/>
          <w:lang w:val="hr-HR" w:eastAsia="hr-HR"/>
        </w:rPr>
        <w:drawing>
          <wp:inline distT="0" distB="0" distL="0" distR="0" wp14:anchorId="5533DFEB" wp14:editId="42220E4A">
            <wp:extent cx="5542961" cy="3146743"/>
            <wp:effectExtent l="0" t="0" r="635"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4386" cy="3147552"/>
                    </a:xfrm>
                    <a:prstGeom prst="rect">
                      <a:avLst/>
                    </a:prstGeom>
                    <a:noFill/>
                  </pic:spPr>
                </pic:pic>
              </a:graphicData>
            </a:graphic>
          </wp:inline>
        </w:drawing>
      </w:r>
    </w:p>
    <w:p w14:paraId="6D505C26" w14:textId="13B1ECD3" w:rsidR="00E5280D" w:rsidRPr="001620A1" w:rsidRDefault="00F41978" w:rsidP="00E5280D">
      <w:pPr>
        <w:spacing w:before="240" w:line="276" w:lineRule="auto"/>
        <w:jc w:val="both"/>
        <w:rPr>
          <w:sz w:val="24"/>
          <w:szCs w:val="24"/>
          <w:lang w:val="hr-HR"/>
        </w:rPr>
      </w:pPr>
      <w:r>
        <w:rPr>
          <w:sz w:val="24"/>
          <w:lang w:val="hr-HR"/>
        </w:rPr>
        <w:t>G</w:t>
      </w:r>
      <w:r w:rsidR="00E5280D" w:rsidRPr="00B81483">
        <w:rPr>
          <w:sz w:val="24"/>
          <w:lang w:val="hr-HR"/>
        </w:rPr>
        <w:t>rafikon</w:t>
      </w:r>
      <w:r>
        <w:rPr>
          <w:sz w:val="24"/>
          <w:lang w:val="hr-HR"/>
        </w:rPr>
        <w:t>om</w:t>
      </w:r>
      <w:r w:rsidR="00E5280D" w:rsidRPr="00B81483">
        <w:rPr>
          <w:sz w:val="24"/>
          <w:lang w:val="hr-HR"/>
        </w:rPr>
        <w:t xml:space="preserve"> 8</w:t>
      </w:r>
      <w:r>
        <w:rPr>
          <w:sz w:val="24"/>
          <w:lang w:val="hr-HR"/>
        </w:rPr>
        <w:t>. p</w:t>
      </w:r>
      <w:r w:rsidR="00E5280D" w:rsidRPr="00B81483">
        <w:rPr>
          <w:sz w:val="24"/>
          <w:lang w:val="hr-HR"/>
        </w:rPr>
        <w:t>rikaz</w:t>
      </w:r>
      <w:r>
        <w:rPr>
          <w:sz w:val="24"/>
          <w:lang w:val="hr-HR"/>
        </w:rPr>
        <w:t>ano je</w:t>
      </w:r>
      <w:r w:rsidR="00E5280D" w:rsidRPr="00B81483">
        <w:rPr>
          <w:sz w:val="24"/>
          <w:lang w:val="hr-HR"/>
        </w:rPr>
        <w:t xml:space="preserve"> kretanje kamatnih stopa na trezorske zapise </w:t>
      </w:r>
      <w:r>
        <w:rPr>
          <w:sz w:val="24"/>
          <w:lang w:val="hr-HR"/>
        </w:rPr>
        <w:t>različitih rokova dospijeća</w:t>
      </w:r>
      <w:r w:rsidR="00E5280D" w:rsidRPr="00B81483">
        <w:rPr>
          <w:sz w:val="24"/>
          <w:lang w:val="hr-HR"/>
        </w:rPr>
        <w:t xml:space="preserve"> u razdoblju 2013. - 201</w:t>
      </w:r>
      <w:r w:rsidR="00E5280D">
        <w:rPr>
          <w:sz w:val="24"/>
          <w:lang w:val="hr-HR"/>
        </w:rPr>
        <w:t>8</w:t>
      </w:r>
      <w:r w:rsidR="00E5280D" w:rsidRPr="00B81483">
        <w:rPr>
          <w:sz w:val="24"/>
          <w:lang w:val="hr-HR"/>
        </w:rPr>
        <w:t>.</w:t>
      </w:r>
      <w:r>
        <w:rPr>
          <w:sz w:val="24"/>
          <w:lang w:val="hr-HR"/>
        </w:rPr>
        <w:t xml:space="preserve"> Zamjetno je</w:t>
      </w:r>
      <w:r w:rsidR="00E5280D" w:rsidRPr="00B81483">
        <w:rPr>
          <w:sz w:val="24"/>
          <w:lang w:val="hr-HR"/>
        </w:rPr>
        <w:t xml:space="preserve"> </w:t>
      </w:r>
      <w:r w:rsidR="00E5280D">
        <w:rPr>
          <w:sz w:val="24"/>
          <w:lang w:val="hr-HR"/>
        </w:rPr>
        <w:t>kontinuirano smanjenje</w:t>
      </w:r>
      <w:r w:rsidR="00E5280D" w:rsidRPr="00B81483">
        <w:rPr>
          <w:sz w:val="24"/>
          <w:lang w:val="hr-HR"/>
        </w:rPr>
        <w:t xml:space="preserve"> kamatnih stopa </w:t>
      </w:r>
      <w:r>
        <w:rPr>
          <w:sz w:val="24"/>
          <w:lang w:val="hr-HR"/>
        </w:rPr>
        <w:t xml:space="preserve">po svim </w:t>
      </w:r>
      <w:r w:rsidR="00E5280D">
        <w:rPr>
          <w:sz w:val="24"/>
          <w:lang w:val="hr-HR"/>
        </w:rPr>
        <w:t>vrstama</w:t>
      </w:r>
      <w:r w:rsidR="00E5280D" w:rsidRPr="00B81483">
        <w:rPr>
          <w:sz w:val="24"/>
          <w:lang w:val="hr-HR"/>
        </w:rPr>
        <w:t xml:space="preserve"> izdanja</w:t>
      </w:r>
      <w:r>
        <w:rPr>
          <w:sz w:val="24"/>
          <w:lang w:val="hr-HR"/>
        </w:rPr>
        <w:t xml:space="preserve">, koje su </w:t>
      </w:r>
      <w:r w:rsidR="004A6E5D">
        <w:rPr>
          <w:sz w:val="24"/>
          <w:lang w:val="hr-HR"/>
        </w:rPr>
        <w:t>krajem</w:t>
      </w:r>
      <w:r w:rsidR="00E5280D" w:rsidRPr="00B81483">
        <w:rPr>
          <w:sz w:val="24"/>
          <w:lang w:val="hr-HR"/>
        </w:rPr>
        <w:t xml:space="preserve"> 201</w:t>
      </w:r>
      <w:r w:rsidR="00E5280D">
        <w:rPr>
          <w:sz w:val="24"/>
          <w:lang w:val="hr-HR"/>
        </w:rPr>
        <w:t>8</w:t>
      </w:r>
      <w:r w:rsidR="00E5280D" w:rsidRPr="00B81483">
        <w:rPr>
          <w:sz w:val="24"/>
          <w:lang w:val="hr-HR"/>
        </w:rPr>
        <w:t>. godine na kunske trezorske zapise s rokom</w:t>
      </w:r>
      <w:r w:rsidR="00E5280D">
        <w:rPr>
          <w:sz w:val="24"/>
          <w:lang w:val="hr-HR"/>
        </w:rPr>
        <w:t xml:space="preserve"> dospijeća</w:t>
      </w:r>
      <w:r w:rsidR="00E5280D" w:rsidRPr="00B81483">
        <w:rPr>
          <w:sz w:val="24"/>
          <w:lang w:val="hr-HR"/>
        </w:rPr>
        <w:t xml:space="preserve"> od 364 dana iznosile 0,</w:t>
      </w:r>
      <w:r w:rsidR="00E5280D">
        <w:rPr>
          <w:sz w:val="24"/>
          <w:lang w:val="hr-HR"/>
        </w:rPr>
        <w:t>0</w:t>
      </w:r>
      <w:r>
        <w:rPr>
          <w:sz w:val="24"/>
          <w:lang w:val="hr-HR"/>
        </w:rPr>
        <w:t>9</w:t>
      </w:r>
      <w:r w:rsidR="00642C3B">
        <w:rPr>
          <w:sz w:val="24"/>
          <w:lang w:val="hr-HR"/>
        </w:rPr>
        <w:t>%</w:t>
      </w:r>
      <w:r w:rsidR="00E5280D">
        <w:rPr>
          <w:sz w:val="24"/>
          <w:lang w:val="hr-HR"/>
        </w:rPr>
        <w:t>,</w:t>
      </w:r>
      <w:r w:rsidR="00E5280D" w:rsidRPr="00B81483">
        <w:rPr>
          <w:sz w:val="24"/>
          <w:lang w:val="hr-HR"/>
        </w:rPr>
        <w:t xml:space="preserve"> dok su na trezorske zapise s valutnom klauzulom</w:t>
      </w:r>
      <w:r>
        <w:rPr>
          <w:sz w:val="24"/>
          <w:lang w:val="hr-HR"/>
        </w:rPr>
        <w:t xml:space="preserve"> i rok dospijeća od 364 dana</w:t>
      </w:r>
      <w:r w:rsidR="00E5280D" w:rsidRPr="00B81483">
        <w:rPr>
          <w:sz w:val="24"/>
          <w:lang w:val="hr-HR"/>
        </w:rPr>
        <w:t xml:space="preserve"> iznosile 0,0</w:t>
      </w:r>
      <w:r w:rsidR="00642C3B">
        <w:rPr>
          <w:sz w:val="24"/>
          <w:lang w:val="hr-HR"/>
        </w:rPr>
        <w:t>%</w:t>
      </w:r>
      <w:r w:rsidR="00E5280D" w:rsidRPr="00B81483">
        <w:rPr>
          <w:sz w:val="24"/>
          <w:lang w:val="hr-HR"/>
        </w:rPr>
        <w:t xml:space="preserve">. </w:t>
      </w:r>
    </w:p>
    <w:p w14:paraId="3EEC0595" w14:textId="77777777" w:rsidR="00E5280D" w:rsidRDefault="00E5280D" w:rsidP="006B2F1F">
      <w:pPr>
        <w:rPr>
          <w:highlight w:val="yellow"/>
          <w:lang w:val="hr-HR"/>
        </w:rPr>
      </w:pPr>
    </w:p>
    <w:p w14:paraId="7F9EEEA1" w14:textId="77777777" w:rsidR="008B368B" w:rsidRDefault="008B368B" w:rsidP="006B2F1F">
      <w:pPr>
        <w:rPr>
          <w:highlight w:val="yellow"/>
          <w:lang w:val="hr-HR"/>
        </w:rPr>
      </w:pPr>
    </w:p>
    <w:p w14:paraId="0F359DF6" w14:textId="77777777" w:rsidR="008B368B" w:rsidRDefault="008B368B" w:rsidP="006B2F1F">
      <w:pPr>
        <w:rPr>
          <w:highlight w:val="yellow"/>
          <w:lang w:val="hr-HR"/>
        </w:rPr>
      </w:pPr>
    </w:p>
    <w:p w14:paraId="16F9A96E" w14:textId="77777777" w:rsidR="007413F9" w:rsidRPr="00CD6A5F" w:rsidRDefault="007413F9" w:rsidP="007413F9">
      <w:pPr>
        <w:pStyle w:val="Caption"/>
        <w:spacing w:before="240" w:line="276" w:lineRule="auto"/>
        <w:rPr>
          <w:bCs w:val="0"/>
          <w:i/>
          <w:sz w:val="24"/>
          <w:lang w:val="hr-HR"/>
        </w:rPr>
      </w:pPr>
      <w:bookmarkStart w:id="23" w:name="_Toc10032466"/>
      <w:r w:rsidRPr="00CD6A5F">
        <w:rPr>
          <w:bCs w:val="0"/>
          <w:i/>
          <w:sz w:val="24"/>
          <w:lang w:val="hr-HR"/>
        </w:rPr>
        <w:lastRenderedPageBreak/>
        <w:t xml:space="preserve">Grafikon </w:t>
      </w:r>
      <w:r w:rsidRPr="00CD6A5F">
        <w:rPr>
          <w:bCs w:val="0"/>
          <w:i/>
          <w:sz w:val="24"/>
          <w:lang w:val="hr-HR"/>
        </w:rPr>
        <w:fldChar w:fldCharType="begin"/>
      </w:r>
      <w:r w:rsidRPr="00CD6A5F">
        <w:rPr>
          <w:bCs w:val="0"/>
          <w:i/>
          <w:sz w:val="24"/>
          <w:lang w:val="hr-HR"/>
        </w:rPr>
        <w:instrText xml:space="preserve"> SEQ Grafikon \* ARABIC </w:instrText>
      </w:r>
      <w:r w:rsidRPr="00CD6A5F">
        <w:rPr>
          <w:bCs w:val="0"/>
          <w:i/>
          <w:sz w:val="24"/>
          <w:lang w:val="hr-HR"/>
        </w:rPr>
        <w:fldChar w:fldCharType="separate"/>
      </w:r>
      <w:r w:rsidR="00CE0BC8">
        <w:rPr>
          <w:bCs w:val="0"/>
          <w:i/>
          <w:noProof/>
          <w:sz w:val="24"/>
          <w:lang w:val="hr-HR"/>
        </w:rPr>
        <w:t>8</w:t>
      </w:r>
      <w:r w:rsidRPr="00CD6A5F">
        <w:rPr>
          <w:bCs w:val="0"/>
          <w:i/>
          <w:sz w:val="24"/>
          <w:lang w:val="hr-HR"/>
        </w:rPr>
        <w:fldChar w:fldCharType="end"/>
      </w:r>
      <w:r w:rsidRPr="00CD6A5F">
        <w:rPr>
          <w:bCs w:val="0"/>
          <w:i/>
          <w:sz w:val="24"/>
          <w:lang w:val="hr-HR"/>
        </w:rPr>
        <w:t>: Kamatne stope na trezorske zapise u razdoblju 201</w:t>
      </w:r>
      <w:r w:rsidR="00603F41" w:rsidRPr="00CD6A5F">
        <w:rPr>
          <w:bCs w:val="0"/>
          <w:i/>
          <w:sz w:val="24"/>
          <w:lang w:val="hr-HR"/>
        </w:rPr>
        <w:t>3</w:t>
      </w:r>
      <w:r w:rsidRPr="00CD6A5F">
        <w:rPr>
          <w:bCs w:val="0"/>
          <w:i/>
          <w:sz w:val="24"/>
          <w:lang w:val="hr-HR"/>
        </w:rPr>
        <w:t>. – 201</w:t>
      </w:r>
      <w:r w:rsidR="00CD6A5F">
        <w:rPr>
          <w:bCs w:val="0"/>
          <w:i/>
          <w:sz w:val="24"/>
          <w:lang w:val="hr-HR"/>
        </w:rPr>
        <w:t>8</w:t>
      </w:r>
      <w:r w:rsidRPr="00CD6A5F">
        <w:rPr>
          <w:bCs w:val="0"/>
          <w:i/>
          <w:sz w:val="24"/>
          <w:lang w:val="hr-HR"/>
        </w:rPr>
        <w:t>.</w:t>
      </w:r>
      <w:bookmarkEnd w:id="23"/>
    </w:p>
    <w:p w14:paraId="02E5AA3F" w14:textId="77777777" w:rsidR="008B4584" w:rsidRDefault="008B4584" w:rsidP="008B4584">
      <w:pPr>
        <w:rPr>
          <w:highlight w:val="yellow"/>
          <w:lang w:val="hr-HR"/>
        </w:rPr>
      </w:pPr>
      <w:r>
        <w:rPr>
          <w:noProof/>
          <w:lang w:val="hr-HR" w:eastAsia="hr-HR"/>
        </w:rPr>
        <w:drawing>
          <wp:inline distT="0" distB="0" distL="0" distR="0" wp14:anchorId="2F8B1782" wp14:editId="06119BEA">
            <wp:extent cx="5105400" cy="2790616"/>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6907" cy="2791440"/>
                    </a:xfrm>
                    <a:prstGeom prst="rect">
                      <a:avLst/>
                    </a:prstGeom>
                    <a:noFill/>
                  </pic:spPr>
                </pic:pic>
              </a:graphicData>
            </a:graphic>
          </wp:inline>
        </w:drawing>
      </w:r>
    </w:p>
    <w:p w14:paraId="3FC0D8BA" w14:textId="77777777" w:rsidR="00150899" w:rsidRDefault="00150899" w:rsidP="008B4584">
      <w:pPr>
        <w:rPr>
          <w:highlight w:val="yellow"/>
          <w:lang w:val="hr-HR"/>
        </w:rPr>
      </w:pPr>
    </w:p>
    <w:p w14:paraId="644726FF" w14:textId="77777777" w:rsidR="00150899" w:rsidRPr="00DF23F9" w:rsidRDefault="00150899"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DF23F9">
        <w:rPr>
          <w:rFonts w:asciiTheme="majorHAnsi" w:eastAsiaTheme="majorEastAsia" w:hAnsiTheme="majorHAnsi" w:cstheme="majorBidi"/>
          <w:i/>
          <w:iCs/>
          <w:color w:val="4F81BD" w:themeColor="accent1"/>
          <w:spacing w:val="15"/>
          <w:sz w:val="24"/>
          <w:szCs w:val="24"/>
          <w:lang w:val="hr-HR"/>
        </w:rPr>
        <w:t>Obveznice</w:t>
      </w:r>
    </w:p>
    <w:p w14:paraId="18AFE3CC" w14:textId="77777777" w:rsidR="003A68EC" w:rsidRPr="00FB1D25" w:rsidRDefault="00CE26D0" w:rsidP="00FB1D25">
      <w:pPr>
        <w:spacing w:before="240" w:line="276" w:lineRule="auto"/>
        <w:jc w:val="both"/>
        <w:rPr>
          <w:sz w:val="24"/>
          <w:szCs w:val="24"/>
          <w:lang w:val="hr-HR"/>
        </w:rPr>
      </w:pPr>
      <w:r w:rsidRPr="00FB1D25">
        <w:rPr>
          <w:sz w:val="24"/>
          <w:szCs w:val="24"/>
          <w:lang w:val="hr-HR"/>
        </w:rPr>
        <w:t xml:space="preserve">Pri analizi i utvrđivanju izvora računa financiranja </w:t>
      </w:r>
      <w:r w:rsidR="005659D2">
        <w:rPr>
          <w:sz w:val="24"/>
          <w:szCs w:val="24"/>
          <w:lang w:val="hr-HR"/>
        </w:rPr>
        <w:t>d</w:t>
      </w:r>
      <w:r w:rsidRPr="00FB1D25">
        <w:rPr>
          <w:sz w:val="24"/>
          <w:szCs w:val="24"/>
          <w:lang w:val="hr-HR"/>
        </w:rPr>
        <w:t>ržavnog proračuna u</w:t>
      </w:r>
      <w:r w:rsidR="00150899" w:rsidRPr="00FB1D25">
        <w:rPr>
          <w:sz w:val="24"/>
          <w:szCs w:val="24"/>
          <w:lang w:val="hr-HR"/>
        </w:rPr>
        <w:t xml:space="preserve"> 2018. godini </w:t>
      </w:r>
      <w:r w:rsidRPr="00FB1D25">
        <w:rPr>
          <w:sz w:val="24"/>
          <w:szCs w:val="24"/>
          <w:lang w:val="hr-HR"/>
        </w:rPr>
        <w:t xml:space="preserve">financiranje </w:t>
      </w:r>
      <w:r w:rsidR="001048AF" w:rsidRPr="00FB1D25">
        <w:rPr>
          <w:sz w:val="24"/>
          <w:szCs w:val="24"/>
          <w:lang w:val="hr-HR"/>
        </w:rPr>
        <w:t xml:space="preserve">kroz dugoročne vrijednosne papire </w:t>
      </w:r>
      <w:r w:rsidRPr="00FB1D25">
        <w:rPr>
          <w:sz w:val="24"/>
          <w:szCs w:val="24"/>
          <w:lang w:val="hr-HR"/>
        </w:rPr>
        <w:t xml:space="preserve">je bilo usmjereno </w:t>
      </w:r>
      <w:r w:rsidR="001048AF" w:rsidRPr="00FB1D25">
        <w:rPr>
          <w:sz w:val="24"/>
          <w:szCs w:val="24"/>
          <w:lang w:val="hr-HR"/>
        </w:rPr>
        <w:t xml:space="preserve">na domaće i međunarodne izvore. </w:t>
      </w:r>
    </w:p>
    <w:p w14:paraId="2EC2D6D0" w14:textId="77777777" w:rsidR="00FB1D25" w:rsidRPr="00FB1D25" w:rsidRDefault="001048AF" w:rsidP="00FB1D25">
      <w:pPr>
        <w:pStyle w:val="PlainText"/>
        <w:spacing w:after="240" w:afterAutospacing="0" w:line="276" w:lineRule="auto"/>
        <w:jc w:val="both"/>
        <w:rPr>
          <w:rFonts w:asciiTheme="minorHAnsi" w:hAnsiTheme="minorHAnsi" w:cs="Arial"/>
        </w:rPr>
      </w:pPr>
      <w:r w:rsidRPr="00FB1D25">
        <w:rPr>
          <w:rFonts w:asciiTheme="minorHAnsi" w:hAnsiTheme="minorHAnsi"/>
          <w:lang w:val="hr-HR"/>
        </w:rPr>
        <w:t>Na međunarodnom tržištu RH je</w:t>
      </w:r>
      <w:r w:rsidR="00620919">
        <w:rPr>
          <w:rFonts w:asciiTheme="minorHAnsi" w:hAnsiTheme="minorHAnsi"/>
          <w:lang w:val="hr-HR"/>
        </w:rPr>
        <w:t xml:space="preserve"> realizirala</w:t>
      </w:r>
      <w:r w:rsidRPr="00FB1D25">
        <w:rPr>
          <w:rFonts w:asciiTheme="minorHAnsi" w:hAnsiTheme="minorHAnsi"/>
          <w:lang w:val="hr-HR"/>
        </w:rPr>
        <w:t xml:space="preserve"> izda</w:t>
      </w:r>
      <w:r w:rsidR="00620919">
        <w:rPr>
          <w:rFonts w:asciiTheme="minorHAnsi" w:hAnsiTheme="minorHAnsi"/>
          <w:lang w:val="hr-HR"/>
        </w:rPr>
        <w:t>nje</w:t>
      </w:r>
      <w:r w:rsidRPr="00FB1D25">
        <w:rPr>
          <w:rFonts w:asciiTheme="minorHAnsi" w:hAnsiTheme="minorHAnsi"/>
          <w:lang w:val="hr-HR"/>
        </w:rPr>
        <w:t xml:space="preserve"> obveznice </w:t>
      </w:r>
      <w:r w:rsidR="00620919">
        <w:rPr>
          <w:rFonts w:asciiTheme="minorHAnsi" w:hAnsiTheme="minorHAnsi"/>
          <w:lang w:val="hr-HR"/>
        </w:rPr>
        <w:t>dospijeća 2028. godine u nominalnom iznosu</w:t>
      </w:r>
      <w:r w:rsidRPr="00FB1D25">
        <w:rPr>
          <w:rFonts w:asciiTheme="minorHAnsi" w:hAnsiTheme="minorHAnsi"/>
          <w:lang w:val="hr-HR"/>
        </w:rPr>
        <w:t xml:space="preserve"> od 750 milijuna eura, a sredstva prikupljena ovim izdanjem iskoristila su se za refinanciranje dospijeća obveznica</w:t>
      </w:r>
      <w:r w:rsidR="00CB4520" w:rsidRPr="00FB1D25">
        <w:rPr>
          <w:rFonts w:asciiTheme="minorHAnsi" w:hAnsiTheme="minorHAnsi"/>
          <w:lang w:val="hr-HR"/>
        </w:rPr>
        <w:t xml:space="preserve"> </w:t>
      </w:r>
      <w:r w:rsidR="0085583D">
        <w:rPr>
          <w:rFonts w:asciiTheme="minorHAnsi" w:hAnsiTheme="minorHAnsi"/>
          <w:lang w:val="hr-HR"/>
        </w:rPr>
        <w:t>istog iznosa</w:t>
      </w:r>
      <w:r w:rsidR="00CB4520" w:rsidRPr="00FB1D25">
        <w:rPr>
          <w:rFonts w:asciiTheme="minorHAnsi" w:hAnsiTheme="minorHAnsi"/>
          <w:lang w:val="hr-HR"/>
        </w:rPr>
        <w:t xml:space="preserve">. </w:t>
      </w:r>
      <w:r w:rsidR="00FB1D25" w:rsidRPr="00FB1D25">
        <w:rPr>
          <w:rFonts w:asciiTheme="minorHAnsi" w:eastAsia="Calibri" w:hAnsiTheme="minorHAnsi"/>
          <w:color w:val="000000"/>
          <w:lang w:val="hr-HR"/>
        </w:rPr>
        <w:t xml:space="preserve">Ostvareni uvjeti </w:t>
      </w:r>
      <w:r w:rsidR="00620919">
        <w:rPr>
          <w:rFonts w:asciiTheme="minorHAnsi" w:eastAsia="Calibri" w:hAnsiTheme="minorHAnsi"/>
          <w:color w:val="000000"/>
          <w:lang w:val="hr-HR"/>
        </w:rPr>
        <w:t xml:space="preserve">novog </w:t>
      </w:r>
      <w:r w:rsidR="00FB1D25" w:rsidRPr="00FB1D25">
        <w:rPr>
          <w:rFonts w:asciiTheme="minorHAnsi" w:eastAsia="Calibri" w:hAnsiTheme="minorHAnsi"/>
          <w:color w:val="000000"/>
          <w:lang w:val="hr-HR"/>
        </w:rPr>
        <w:t xml:space="preserve">izdanja impliciraju uštedu na kamatama od približno 180 milijuna kuna za refinancirani iznos duga promatrano na godišnjoj razini. </w:t>
      </w:r>
    </w:p>
    <w:p w14:paraId="03B7AAE7" w14:textId="77777777" w:rsidR="00FB1D25" w:rsidRPr="00FB1D25" w:rsidRDefault="003A68EC" w:rsidP="00FB1D25">
      <w:pPr>
        <w:spacing w:line="276" w:lineRule="auto"/>
        <w:jc w:val="both"/>
        <w:rPr>
          <w:rFonts w:eastAsia="Calibri" w:cs="Times New Roman"/>
          <w:sz w:val="24"/>
          <w:szCs w:val="24"/>
          <w:lang w:val="hr-HR"/>
        </w:rPr>
      </w:pPr>
      <w:r w:rsidRPr="00FB1D25">
        <w:rPr>
          <w:rFonts w:eastAsia="Calibri" w:cs="Times New Roman"/>
          <w:sz w:val="24"/>
          <w:szCs w:val="24"/>
          <w:lang w:val="hr-HR"/>
        </w:rPr>
        <w:t xml:space="preserve">Na domaćem tržištu kapitala RH je </w:t>
      </w:r>
      <w:r w:rsidR="00FB1D25" w:rsidRPr="00FB1D25">
        <w:rPr>
          <w:rFonts w:eastAsia="Calibri" w:cs="Times New Roman"/>
          <w:sz w:val="24"/>
          <w:szCs w:val="24"/>
          <w:lang w:val="hr-HR"/>
        </w:rPr>
        <w:t xml:space="preserve">u 2018. godini </w:t>
      </w:r>
      <w:r w:rsidRPr="00FB1D25">
        <w:rPr>
          <w:rFonts w:eastAsia="Calibri" w:cs="Times New Roman"/>
          <w:sz w:val="24"/>
          <w:szCs w:val="24"/>
          <w:lang w:val="hr-HR"/>
        </w:rPr>
        <w:t xml:space="preserve">izdala drugu tranšu obveznica dospijeća 2023. u nominalnom iznosu od 5,5 milijardi kuna te novo izdanje obveznica, dospijeća 2029. godine u nominalnom iznosu od 5 milijardi kuna. </w:t>
      </w:r>
      <w:r w:rsidR="00FB1D25" w:rsidRPr="00FB1D25">
        <w:rPr>
          <w:rFonts w:eastAsia="Calibri" w:cs="Times New Roman"/>
          <w:sz w:val="24"/>
          <w:szCs w:val="24"/>
          <w:lang w:val="hr-HR"/>
        </w:rPr>
        <w:t>U skladu s računom financiranja državnog proračuna za 2018. godinu sredstva prikupljena ovim izdanjem obveznica upotrijebljena su za refinanciranje obveznice iznosa 6 milijardi kuna te financiranje općih potreba državnog proračuna.</w:t>
      </w:r>
      <w:r w:rsidR="00620919">
        <w:rPr>
          <w:rFonts w:eastAsia="Calibri" w:cs="Times New Roman"/>
          <w:sz w:val="24"/>
          <w:szCs w:val="24"/>
          <w:lang w:val="hr-HR"/>
        </w:rPr>
        <w:t xml:space="preserve"> </w:t>
      </w:r>
      <w:r w:rsidR="00FB1D25" w:rsidRPr="00FB1D25">
        <w:rPr>
          <w:rFonts w:eastAsia="Calibri" w:cs="Times New Roman"/>
          <w:color w:val="000000"/>
          <w:sz w:val="24"/>
          <w:szCs w:val="24"/>
          <w:lang w:val="hr-HR"/>
        </w:rPr>
        <w:t xml:space="preserve">Ostvareni uvjeti izdanja impliciraju uštedu na kamatama od približno 200 milijuna kuna za refinancirani iznos duga promatrano na godišnjoj razini. </w:t>
      </w:r>
    </w:p>
    <w:p w14:paraId="38242261" w14:textId="77777777" w:rsidR="00150899" w:rsidRPr="005146E8" w:rsidRDefault="00150899" w:rsidP="00150899">
      <w:pPr>
        <w:spacing w:before="240" w:line="276" w:lineRule="auto"/>
        <w:jc w:val="both"/>
        <w:rPr>
          <w:sz w:val="24"/>
          <w:szCs w:val="24"/>
          <w:lang w:val="hr-HR"/>
        </w:rPr>
      </w:pPr>
      <w:r w:rsidRPr="005146E8">
        <w:rPr>
          <w:sz w:val="24"/>
          <w:szCs w:val="24"/>
          <w:lang w:val="hr-HR"/>
        </w:rPr>
        <w:t xml:space="preserve">Nova izdanja obveznica na domaćem i inozemnom tržištu pridonijela su razvoju krivulja prinosa obveznica RH. U nastavku, </w:t>
      </w:r>
      <w:r w:rsidR="005659D2">
        <w:rPr>
          <w:sz w:val="24"/>
          <w:szCs w:val="24"/>
          <w:lang w:val="hr-HR"/>
        </w:rPr>
        <w:t>G</w:t>
      </w:r>
      <w:r w:rsidRPr="005146E8">
        <w:rPr>
          <w:sz w:val="24"/>
          <w:szCs w:val="24"/>
          <w:lang w:val="hr-HR"/>
        </w:rPr>
        <w:t>rafikonima 9</w:t>
      </w:r>
      <w:r w:rsidR="005659D2">
        <w:rPr>
          <w:sz w:val="24"/>
          <w:szCs w:val="24"/>
          <w:lang w:val="hr-HR"/>
        </w:rPr>
        <w:t>.</w:t>
      </w:r>
      <w:r w:rsidRPr="005146E8">
        <w:rPr>
          <w:sz w:val="24"/>
          <w:szCs w:val="24"/>
          <w:lang w:val="hr-HR"/>
        </w:rPr>
        <w:t xml:space="preserve"> i 10</w:t>
      </w:r>
      <w:r w:rsidR="005659D2">
        <w:rPr>
          <w:sz w:val="24"/>
          <w:szCs w:val="24"/>
          <w:lang w:val="hr-HR"/>
        </w:rPr>
        <w:t>.</w:t>
      </w:r>
      <w:r w:rsidRPr="005146E8">
        <w:rPr>
          <w:sz w:val="24"/>
          <w:szCs w:val="24"/>
          <w:lang w:val="hr-HR"/>
        </w:rPr>
        <w:t xml:space="preserve"> prikazane su krivulje prinosa na domaće i inozemne obveznice. </w:t>
      </w:r>
      <w:r w:rsidR="005146E8" w:rsidRPr="005146E8">
        <w:rPr>
          <w:sz w:val="24"/>
          <w:szCs w:val="24"/>
          <w:lang w:val="hr-HR"/>
        </w:rPr>
        <w:t>Točke na krivuljama prinosa državnih obveznica prikazuju tražene prinose po pojedinim dospijećima pa se tako može primijetiti razlika tržišnih prinosa između obveznica izdanih na inozemnom i onih izdanih na domaćem tržištu.</w:t>
      </w:r>
    </w:p>
    <w:p w14:paraId="5D47C17F" w14:textId="77777777" w:rsidR="00150899" w:rsidRPr="005146E8" w:rsidRDefault="00150899" w:rsidP="008B4584">
      <w:pPr>
        <w:rPr>
          <w:sz w:val="24"/>
          <w:szCs w:val="24"/>
          <w:highlight w:val="yellow"/>
          <w:lang w:val="hr-HR"/>
        </w:rPr>
      </w:pPr>
    </w:p>
    <w:p w14:paraId="24D7124F" w14:textId="77777777" w:rsidR="007413F9" w:rsidRPr="00665D07" w:rsidRDefault="007413F9" w:rsidP="007413F9">
      <w:pPr>
        <w:pStyle w:val="Caption"/>
        <w:spacing w:before="240" w:line="276" w:lineRule="auto"/>
        <w:rPr>
          <w:bCs w:val="0"/>
          <w:i/>
          <w:sz w:val="24"/>
          <w:lang w:val="hr-HR"/>
        </w:rPr>
      </w:pPr>
      <w:bookmarkStart w:id="24" w:name="_Toc10032467"/>
      <w:r w:rsidRPr="00665D07">
        <w:rPr>
          <w:bCs w:val="0"/>
          <w:i/>
          <w:sz w:val="24"/>
          <w:lang w:val="hr-HR"/>
        </w:rPr>
        <w:lastRenderedPageBreak/>
        <w:t xml:space="preserve">Grafikon </w:t>
      </w:r>
      <w:r w:rsidRPr="00665D07">
        <w:rPr>
          <w:bCs w:val="0"/>
          <w:i/>
          <w:sz w:val="24"/>
          <w:lang w:val="hr-HR"/>
        </w:rPr>
        <w:fldChar w:fldCharType="begin"/>
      </w:r>
      <w:r w:rsidRPr="00665D07">
        <w:rPr>
          <w:bCs w:val="0"/>
          <w:i/>
          <w:sz w:val="24"/>
          <w:lang w:val="hr-HR"/>
        </w:rPr>
        <w:instrText xml:space="preserve"> SEQ Grafikon \* ARABIC </w:instrText>
      </w:r>
      <w:r w:rsidRPr="00665D07">
        <w:rPr>
          <w:bCs w:val="0"/>
          <w:i/>
          <w:sz w:val="24"/>
          <w:lang w:val="hr-HR"/>
        </w:rPr>
        <w:fldChar w:fldCharType="separate"/>
      </w:r>
      <w:r w:rsidR="00CE0BC8">
        <w:rPr>
          <w:bCs w:val="0"/>
          <w:i/>
          <w:noProof/>
          <w:sz w:val="24"/>
          <w:lang w:val="hr-HR"/>
        </w:rPr>
        <w:t>9</w:t>
      </w:r>
      <w:r w:rsidRPr="00665D07">
        <w:rPr>
          <w:bCs w:val="0"/>
          <w:i/>
          <w:sz w:val="24"/>
          <w:lang w:val="hr-HR"/>
        </w:rPr>
        <w:fldChar w:fldCharType="end"/>
      </w:r>
      <w:r w:rsidRPr="00665D07">
        <w:rPr>
          <w:bCs w:val="0"/>
          <w:i/>
          <w:sz w:val="24"/>
          <w:lang w:val="hr-HR"/>
        </w:rPr>
        <w:t>: Krivulja prinosa domaćih obveznica</w:t>
      </w:r>
      <w:r w:rsidR="005146E8">
        <w:rPr>
          <w:bCs w:val="0"/>
          <w:i/>
          <w:sz w:val="24"/>
          <w:lang w:val="hr-HR"/>
        </w:rPr>
        <w:t>, svibanj 2019.</w:t>
      </w:r>
      <w:bookmarkEnd w:id="24"/>
    </w:p>
    <w:p w14:paraId="69E62D20" w14:textId="77777777" w:rsidR="004F4DE6" w:rsidRDefault="004233DE" w:rsidP="00F560F8">
      <w:pPr>
        <w:spacing w:after="240"/>
        <w:rPr>
          <w:highlight w:val="yellow"/>
          <w:lang w:val="hr-HR"/>
        </w:rPr>
      </w:pPr>
      <w:r>
        <w:rPr>
          <w:noProof/>
          <w:lang w:val="hr-HR" w:eastAsia="hr-HR"/>
        </w:rPr>
        <w:drawing>
          <wp:inline distT="0" distB="0" distL="0" distR="0" wp14:anchorId="6C9710A2" wp14:editId="7A6612A1">
            <wp:extent cx="5208269" cy="3244468"/>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0040" cy="3245571"/>
                    </a:xfrm>
                    <a:prstGeom prst="rect">
                      <a:avLst/>
                    </a:prstGeom>
                    <a:noFill/>
                  </pic:spPr>
                </pic:pic>
              </a:graphicData>
            </a:graphic>
          </wp:inline>
        </w:drawing>
      </w:r>
    </w:p>
    <w:p w14:paraId="3E5E08F4" w14:textId="2BD70716" w:rsidR="005146E8" w:rsidRPr="00BC2E43" w:rsidRDefault="005146E8" w:rsidP="00BC2E43">
      <w:pPr>
        <w:spacing w:line="276" w:lineRule="auto"/>
        <w:jc w:val="both"/>
        <w:rPr>
          <w:sz w:val="24"/>
          <w:szCs w:val="24"/>
          <w:lang w:val="hr-HR"/>
        </w:rPr>
      </w:pPr>
      <w:r w:rsidRPr="00BC2E43">
        <w:rPr>
          <w:sz w:val="24"/>
          <w:szCs w:val="24"/>
          <w:lang w:val="hr-HR"/>
        </w:rPr>
        <w:t xml:space="preserve">Na domaćem tržištu kapitala </w:t>
      </w:r>
      <w:r w:rsidR="00E11844">
        <w:rPr>
          <w:sz w:val="24"/>
          <w:szCs w:val="24"/>
          <w:lang w:val="hr-HR"/>
        </w:rPr>
        <w:t>kotira</w:t>
      </w:r>
      <w:r w:rsidRPr="00BC2E43">
        <w:rPr>
          <w:sz w:val="24"/>
          <w:szCs w:val="24"/>
          <w:lang w:val="hr-HR"/>
        </w:rPr>
        <w:t xml:space="preserve"> </w:t>
      </w:r>
      <w:r w:rsidR="00396EA3" w:rsidRPr="00BC2E43">
        <w:rPr>
          <w:sz w:val="24"/>
          <w:szCs w:val="24"/>
          <w:lang w:val="hr-HR"/>
        </w:rPr>
        <w:t xml:space="preserve">ukupno </w:t>
      </w:r>
      <w:r w:rsidRPr="00BC2E43">
        <w:rPr>
          <w:sz w:val="24"/>
          <w:szCs w:val="24"/>
          <w:lang w:val="hr-HR"/>
        </w:rPr>
        <w:t xml:space="preserve">četrnaest izdanja obveznica od čega </w:t>
      </w:r>
      <w:r w:rsidR="00BC2E43">
        <w:rPr>
          <w:sz w:val="24"/>
          <w:szCs w:val="24"/>
          <w:lang w:val="hr-HR"/>
        </w:rPr>
        <w:t xml:space="preserve">je </w:t>
      </w:r>
      <w:r w:rsidRPr="00BC2E43">
        <w:rPr>
          <w:sz w:val="24"/>
          <w:szCs w:val="24"/>
          <w:lang w:val="hr-HR"/>
        </w:rPr>
        <w:t>devet izdanja</w:t>
      </w:r>
      <w:r w:rsidR="00BC2E43">
        <w:rPr>
          <w:sz w:val="24"/>
          <w:szCs w:val="24"/>
          <w:lang w:val="hr-HR"/>
        </w:rPr>
        <w:t xml:space="preserve"> denominirano u kunama</w:t>
      </w:r>
      <w:r w:rsidRPr="00BC2E43">
        <w:rPr>
          <w:sz w:val="24"/>
          <w:szCs w:val="24"/>
          <w:lang w:val="hr-HR"/>
        </w:rPr>
        <w:t xml:space="preserve"> te pet izdanja uz valutnu klauzulu.</w:t>
      </w:r>
    </w:p>
    <w:p w14:paraId="388A5ACC" w14:textId="77777777" w:rsidR="00823B16" w:rsidRDefault="007413F9" w:rsidP="00DF23F9">
      <w:pPr>
        <w:pStyle w:val="Caption"/>
        <w:spacing w:before="240" w:line="276" w:lineRule="auto"/>
        <w:rPr>
          <w:highlight w:val="yellow"/>
          <w:lang w:val="hr-HR"/>
        </w:rPr>
      </w:pPr>
      <w:bookmarkStart w:id="25" w:name="_Toc10032468"/>
      <w:r w:rsidRPr="00665D07">
        <w:rPr>
          <w:bCs w:val="0"/>
          <w:i/>
          <w:sz w:val="24"/>
          <w:lang w:val="hr-HR"/>
        </w:rPr>
        <w:t xml:space="preserve">Grafikon </w:t>
      </w:r>
      <w:r w:rsidRPr="00665D07">
        <w:rPr>
          <w:b w:val="0"/>
          <w:i/>
          <w:sz w:val="24"/>
          <w:lang w:val="hr-HR"/>
        </w:rPr>
        <w:fldChar w:fldCharType="begin"/>
      </w:r>
      <w:r w:rsidRPr="00665D07">
        <w:rPr>
          <w:bCs w:val="0"/>
          <w:i/>
          <w:sz w:val="24"/>
          <w:lang w:val="hr-HR"/>
        </w:rPr>
        <w:instrText xml:space="preserve"> SEQ Grafikon \* ARABIC </w:instrText>
      </w:r>
      <w:r w:rsidRPr="00665D07">
        <w:rPr>
          <w:b w:val="0"/>
          <w:i/>
          <w:sz w:val="24"/>
          <w:lang w:val="hr-HR"/>
        </w:rPr>
        <w:fldChar w:fldCharType="separate"/>
      </w:r>
      <w:r w:rsidR="00CE0BC8">
        <w:rPr>
          <w:bCs w:val="0"/>
          <w:i/>
          <w:noProof/>
          <w:sz w:val="24"/>
          <w:lang w:val="hr-HR"/>
        </w:rPr>
        <w:t>10</w:t>
      </w:r>
      <w:r w:rsidRPr="00665D07">
        <w:rPr>
          <w:b w:val="0"/>
          <w:i/>
          <w:sz w:val="24"/>
          <w:lang w:val="hr-HR"/>
        </w:rPr>
        <w:fldChar w:fldCharType="end"/>
      </w:r>
      <w:r w:rsidRPr="00665D07">
        <w:rPr>
          <w:bCs w:val="0"/>
          <w:i/>
          <w:sz w:val="24"/>
          <w:lang w:val="hr-HR"/>
        </w:rPr>
        <w:t>: Krivulja prinosa inozemnih obveznica</w:t>
      </w:r>
      <w:r w:rsidR="005146E8">
        <w:rPr>
          <w:bCs w:val="0"/>
          <w:i/>
          <w:sz w:val="24"/>
          <w:lang w:val="hr-HR"/>
        </w:rPr>
        <w:t>, svibanj 2019.</w:t>
      </w:r>
      <w:bookmarkEnd w:id="25"/>
    </w:p>
    <w:p w14:paraId="2ECA1C00" w14:textId="77777777" w:rsidR="00665D07" w:rsidRDefault="004233DE" w:rsidP="00DF23F9">
      <w:pPr>
        <w:spacing w:after="240"/>
        <w:rPr>
          <w:highlight w:val="yellow"/>
          <w:lang w:val="hr-HR"/>
        </w:rPr>
      </w:pPr>
      <w:r>
        <w:rPr>
          <w:noProof/>
          <w:lang w:val="hr-HR" w:eastAsia="hr-HR"/>
        </w:rPr>
        <w:drawing>
          <wp:inline distT="0" distB="0" distL="0" distR="0" wp14:anchorId="38E5AD64" wp14:editId="5E399564">
            <wp:extent cx="5067759" cy="3018107"/>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9651" cy="3019234"/>
                    </a:xfrm>
                    <a:prstGeom prst="rect">
                      <a:avLst/>
                    </a:prstGeom>
                    <a:noFill/>
                  </pic:spPr>
                </pic:pic>
              </a:graphicData>
            </a:graphic>
          </wp:inline>
        </w:drawing>
      </w:r>
    </w:p>
    <w:p w14:paraId="1AA10850" w14:textId="7337A5D0" w:rsidR="00396EA3" w:rsidRPr="00BC2E43" w:rsidRDefault="00396EA3" w:rsidP="00BC2E43">
      <w:pPr>
        <w:spacing w:line="276" w:lineRule="auto"/>
        <w:jc w:val="both"/>
        <w:rPr>
          <w:sz w:val="24"/>
          <w:szCs w:val="24"/>
          <w:lang w:val="hr-HR"/>
        </w:rPr>
      </w:pPr>
      <w:r w:rsidRPr="00BC2E43">
        <w:rPr>
          <w:sz w:val="24"/>
          <w:szCs w:val="24"/>
          <w:lang w:val="hr-HR"/>
        </w:rPr>
        <w:t xml:space="preserve">Na međunarodnom tržištu kapitala </w:t>
      </w:r>
      <w:r w:rsidR="00E11844">
        <w:rPr>
          <w:sz w:val="24"/>
          <w:szCs w:val="24"/>
          <w:lang w:val="hr-HR"/>
        </w:rPr>
        <w:t>kotira</w:t>
      </w:r>
      <w:r w:rsidRPr="00BC2E43">
        <w:rPr>
          <w:sz w:val="24"/>
          <w:szCs w:val="24"/>
          <w:lang w:val="hr-HR"/>
        </w:rPr>
        <w:t xml:space="preserve"> ukupno deset izdanja obveznica od čega je pet izdanja denominirano u dolarima te pet izdanja denominirano u eurima.</w:t>
      </w:r>
    </w:p>
    <w:p w14:paraId="2EC8B683" w14:textId="77777777" w:rsidR="00396EA3" w:rsidRPr="00BC2E43" w:rsidRDefault="00396EA3" w:rsidP="006B2F1F">
      <w:pPr>
        <w:rPr>
          <w:sz w:val="24"/>
          <w:szCs w:val="24"/>
          <w:highlight w:val="yellow"/>
          <w:lang w:val="hr-HR"/>
        </w:rPr>
        <w:sectPr w:rsidR="00396EA3" w:rsidRPr="00BC2E43" w:rsidSect="00CA5618">
          <w:type w:val="continuous"/>
          <w:pgSz w:w="11906" w:h="16838"/>
          <w:pgMar w:top="1418" w:right="1418" w:bottom="1418" w:left="1418" w:header="709" w:footer="709" w:gutter="0"/>
          <w:cols w:space="708"/>
          <w:docGrid w:linePitch="360"/>
        </w:sectPr>
      </w:pPr>
    </w:p>
    <w:p w14:paraId="650E8413" w14:textId="77777777" w:rsidR="002B3ABB" w:rsidRPr="003A5A5F" w:rsidRDefault="002B3ABB" w:rsidP="0035474D">
      <w:pPr>
        <w:pStyle w:val="Heading1"/>
        <w:numPr>
          <w:ilvl w:val="0"/>
          <w:numId w:val="1"/>
        </w:numPr>
        <w:spacing w:line="276" w:lineRule="auto"/>
        <w:rPr>
          <w:lang w:val="hr-HR"/>
        </w:rPr>
      </w:pPr>
      <w:bookmarkStart w:id="26" w:name="_Toc10032430"/>
      <w:r w:rsidRPr="003A5A5F">
        <w:rPr>
          <w:lang w:val="hr-HR"/>
        </w:rPr>
        <w:lastRenderedPageBreak/>
        <w:t>MAKROEKONOMSKI OKVIR</w:t>
      </w:r>
      <w:bookmarkEnd w:id="26"/>
    </w:p>
    <w:p w14:paraId="78EDA77D" w14:textId="77777777" w:rsidR="002B3ABB" w:rsidRPr="00025326" w:rsidRDefault="002B3ABB" w:rsidP="00822107">
      <w:pPr>
        <w:spacing w:before="240" w:line="276" w:lineRule="auto"/>
        <w:rPr>
          <w:highlight w:val="yellow"/>
          <w:lang w:val="hr-HR"/>
        </w:rPr>
      </w:pPr>
    </w:p>
    <w:p w14:paraId="503F5767" w14:textId="77777777" w:rsidR="003A5A5F" w:rsidRPr="00B433BC" w:rsidRDefault="003A5A5F" w:rsidP="003A5A5F">
      <w:pPr>
        <w:spacing w:before="240" w:line="276" w:lineRule="auto"/>
        <w:jc w:val="both"/>
        <w:rPr>
          <w:sz w:val="24"/>
          <w:szCs w:val="24"/>
          <w:lang w:val="hr-HR"/>
        </w:rPr>
      </w:pPr>
      <w:bookmarkStart w:id="27" w:name="_Toc444156383"/>
      <w:bookmarkStart w:id="28" w:name="_Toc445241790"/>
      <w:r w:rsidRPr="00B433BC">
        <w:rPr>
          <w:sz w:val="24"/>
          <w:szCs w:val="24"/>
          <w:lang w:val="hr-HR"/>
        </w:rPr>
        <w:t xml:space="preserve">Makroekonomski okvir sastavljen je u travnju </w:t>
      </w:r>
      <w:r w:rsidR="0007582E">
        <w:rPr>
          <w:sz w:val="24"/>
          <w:szCs w:val="24"/>
          <w:lang w:val="hr-HR"/>
        </w:rPr>
        <w:t xml:space="preserve">2019. </w:t>
      </w:r>
      <w:r w:rsidRPr="00B433BC">
        <w:rPr>
          <w:sz w:val="24"/>
          <w:szCs w:val="24"/>
          <w:lang w:val="hr-HR"/>
        </w:rPr>
        <w:t>godine</w:t>
      </w:r>
      <w:r w:rsidRPr="00D859AD">
        <w:rPr>
          <w:sz w:val="24"/>
          <w:szCs w:val="24"/>
          <w:vertAlign w:val="superscript"/>
        </w:rPr>
        <w:footnoteReference w:id="4"/>
      </w:r>
      <w:r w:rsidRPr="00B433BC">
        <w:rPr>
          <w:sz w:val="24"/>
          <w:szCs w:val="24"/>
          <w:lang w:val="hr-HR"/>
        </w:rPr>
        <w:t>. Projekcije međunarodnog okruženja</w:t>
      </w:r>
      <w:r w:rsidRPr="00D859AD">
        <w:rPr>
          <w:sz w:val="24"/>
          <w:szCs w:val="24"/>
          <w:vertAlign w:val="superscript"/>
        </w:rPr>
        <w:footnoteReference w:id="5"/>
      </w:r>
      <w:r w:rsidRPr="00B433BC">
        <w:rPr>
          <w:sz w:val="24"/>
          <w:szCs w:val="24"/>
          <w:lang w:val="hr-HR"/>
        </w:rPr>
        <w:t xml:space="preserve"> u srednjoročnom razdoblju su blago nepovoljnije u usporedbi s prethodnim projekcijama</w:t>
      </w:r>
      <w:bookmarkStart w:id="29" w:name="_Toc473042892"/>
      <w:r w:rsidRPr="00B433BC">
        <w:rPr>
          <w:sz w:val="24"/>
          <w:szCs w:val="24"/>
          <w:lang w:val="hr-HR"/>
        </w:rPr>
        <w:t>, uslijed slabijeg kretanja ekonomske aktivnosti krajem 2018. od očekivanog te nepovoljnijih kratkoročnih pokazatelja početkom 2019. godine, ali i kao posljedica trgovinskih napetosti između SAD-a i Kine, znakova usporavanja gospod</w:t>
      </w:r>
      <w:r>
        <w:rPr>
          <w:sz w:val="24"/>
          <w:szCs w:val="24"/>
          <w:lang w:val="hr-HR"/>
        </w:rPr>
        <w:t xml:space="preserve">arskog rasta Kine i zemalja EU </w:t>
      </w:r>
      <w:r w:rsidRPr="00B433BC">
        <w:rPr>
          <w:sz w:val="24"/>
          <w:szCs w:val="24"/>
          <w:lang w:val="hr-HR"/>
        </w:rPr>
        <w:t>te neizvjesnosti vezane uz izlazak Ujedinjenog Kraljevstva iz EU. Predviđa se kako će u narednom srednjoročnom razdoblju globalni uvjeti financiranja ostati pretežito povoljni, budući da se očekuje da će se ključne kamatne stope ECB-a i Fed-a zadržati na postojećim razinama tijekom 2019. godine te da će kratkoročne kamatne stope u europodručju ostati negativne najmanje do 2020. godine.</w:t>
      </w:r>
    </w:p>
    <w:p w14:paraId="2908E0F6" w14:textId="77777777" w:rsidR="003A5A5F" w:rsidRDefault="003A5A5F" w:rsidP="003A5A5F">
      <w:pPr>
        <w:pStyle w:val="Caption"/>
        <w:spacing w:before="240" w:line="276" w:lineRule="auto"/>
        <w:rPr>
          <w:i/>
          <w:sz w:val="24"/>
          <w:lang w:val="hr-HR"/>
        </w:rPr>
      </w:pPr>
      <w:bookmarkStart w:id="30" w:name="_Toc10032447"/>
      <w:r w:rsidRPr="00B74C9E">
        <w:rPr>
          <w:i/>
          <w:sz w:val="24"/>
          <w:lang w:val="hr-HR"/>
        </w:rPr>
        <w:t xml:space="preserve">Tablica </w:t>
      </w:r>
      <w:r w:rsidRPr="00B74C9E">
        <w:rPr>
          <w:i/>
          <w:sz w:val="24"/>
          <w:lang w:val="hr-HR"/>
        </w:rPr>
        <w:fldChar w:fldCharType="begin"/>
      </w:r>
      <w:r w:rsidRPr="00B74C9E">
        <w:rPr>
          <w:i/>
          <w:sz w:val="24"/>
          <w:lang w:val="hr-HR"/>
        </w:rPr>
        <w:instrText xml:space="preserve"> SEQ Tablica \* ARABIC </w:instrText>
      </w:r>
      <w:r w:rsidRPr="00B74C9E">
        <w:rPr>
          <w:i/>
          <w:sz w:val="24"/>
          <w:lang w:val="hr-HR"/>
        </w:rPr>
        <w:fldChar w:fldCharType="separate"/>
      </w:r>
      <w:r w:rsidR="00CE0BC8">
        <w:rPr>
          <w:i/>
          <w:noProof/>
          <w:sz w:val="24"/>
          <w:lang w:val="hr-HR"/>
        </w:rPr>
        <w:t>3</w:t>
      </w:r>
      <w:r w:rsidRPr="00B74C9E">
        <w:rPr>
          <w:i/>
          <w:sz w:val="24"/>
          <w:lang w:val="hr-HR"/>
        </w:rPr>
        <w:fldChar w:fldCharType="end"/>
      </w:r>
      <w:r w:rsidRPr="00B74C9E">
        <w:rPr>
          <w:i/>
          <w:sz w:val="24"/>
          <w:lang w:val="hr-HR"/>
        </w:rPr>
        <w:t>: Projekcije makroekonomskih pokazatelja Republike Hrvatske</w:t>
      </w:r>
      <w:bookmarkEnd w:id="27"/>
      <w:bookmarkEnd w:id="28"/>
      <w:bookmarkEnd w:id="29"/>
      <w:bookmarkEnd w:id="30"/>
    </w:p>
    <w:p w14:paraId="54AB0F56" w14:textId="77777777" w:rsidR="003A5A5F" w:rsidRDefault="003A5A5F" w:rsidP="003A5A5F">
      <w:pPr>
        <w:spacing w:line="240" w:lineRule="auto"/>
        <w:jc w:val="both"/>
        <w:rPr>
          <w:i/>
          <w:sz w:val="24"/>
          <w:lang w:val="hr-HR"/>
        </w:rPr>
      </w:pPr>
      <w:r w:rsidRPr="000B5B73">
        <w:rPr>
          <w:noProof/>
          <w:lang w:val="hr-HR" w:eastAsia="hr-HR"/>
        </w:rPr>
        <w:drawing>
          <wp:inline distT="0" distB="0" distL="0" distR="0" wp14:anchorId="622502C7" wp14:editId="40E88A3F">
            <wp:extent cx="5365376" cy="3697942"/>
            <wp:effectExtent l="0" t="0" r="698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b="778"/>
                    <a:stretch/>
                  </pic:blipFill>
                  <pic:spPr bwMode="auto">
                    <a:xfrm>
                      <a:off x="0" y="0"/>
                      <a:ext cx="5385275" cy="3711657"/>
                    </a:xfrm>
                    <a:prstGeom prst="rect">
                      <a:avLst/>
                    </a:prstGeom>
                    <a:noFill/>
                    <a:ln>
                      <a:noFill/>
                    </a:ln>
                    <a:extLst>
                      <a:ext uri="{53640926-AAD7-44D8-BBD7-CCE9431645EC}">
                        <a14:shadowObscured xmlns:a14="http://schemas.microsoft.com/office/drawing/2010/main"/>
                      </a:ext>
                    </a:extLst>
                  </pic:spPr>
                </pic:pic>
              </a:graphicData>
            </a:graphic>
          </wp:inline>
        </w:drawing>
      </w:r>
    </w:p>
    <w:p w14:paraId="41784B81" w14:textId="77777777" w:rsidR="003A5A5F" w:rsidRDefault="003A5A5F" w:rsidP="003A5A5F">
      <w:pPr>
        <w:jc w:val="both"/>
        <w:rPr>
          <w:i/>
          <w:sz w:val="20"/>
          <w:szCs w:val="20"/>
          <w:lang w:val="hr-HR"/>
        </w:rPr>
      </w:pPr>
      <w:r w:rsidRPr="006C1458">
        <w:rPr>
          <w:i/>
          <w:sz w:val="20"/>
          <w:szCs w:val="20"/>
          <w:lang w:val="hr-HR"/>
        </w:rPr>
        <w:t xml:space="preserve">Izvor: Državni zavod za statistiku, Ministarstvo financija </w:t>
      </w:r>
    </w:p>
    <w:p w14:paraId="3EF577F8" w14:textId="77777777" w:rsidR="003A5A5F" w:rsidRPr="00B433BC" w:rsidRDefault="003A5A5F" w:rsidP="003A5A5F">
      <w:pPr>
        <w:spacing w:before="120" w:line="276" w:lineRule="auto"/>
        <w:jc w:val="both"/>
        <w:rPr>
          <w:sz w:val="24"/>
          <w:szCs w:val="24"/>
          <w:lang w:val="hr-HR"/>
        </w:rPr>
      </w:pPr>
      <w:r w:rsidRPr="00B433BC">
        <w:rPr>
          <w:sz w:val="24"/>
          <w:szCs w:val="24"/>
          <w:lang w:val="hr-HR"/>
        </w:rPr>
        <w:t>Tijekom 2018. godine nasta</w:t>
      </w:r>
      <w:r w:rsidR="00A96157">
        <w:rPr>
          <w:sz w:val="24"/>
          <w:szCs w:val="24"/>
          <w:lang w:val="hr-HR"/>
        </w:rPr>
        <w:t>vlj</w:t>
      </w:r>
      <w:r w:rsidRPr="00B433BC">
        <w:rPr>
          <w:sz w:val="24"/>
          <w:szCs w:val="24"/>
          <w:lang w:val="hr-HR"/>
        </w:rPr>
        <w:t xml:space="preserve">ena su pozitivna kretanja ekonomske aktivnosti započeta u 2015., nakon šestogodišnje recesije. Realni rast BDP-a iznosio je 2,6%, prvenstveno potaknut </w:t>
      </w:r>
      <w:r w:rsidRPr="00B433BC">
        <w:rPr>
          <w:sz w:val="24"/>
          <w:szCs w:val="24"/>
          <w:lang w:val="hr-HR"/>
        </w:rPr>
        <w:lastRenderedPageBreak/>
        <w:t xml:space="preserve">domaćom potražnjom, dok je doprinos neto inozemne potražnje bio negativan, a doprinos promjene zaliha pozitivan. U srednjoročnom razdoblju očekuje se nastavak gospodarskog rasta po neznatno usporavajućim stopama u uvjetima zadržavanja pozitivnog jaza bruto domaćeg proizvoda. U 2019. godini predviđa se realni rast BDP-a od 2,5%, koji će potom usporiti na 2,4% u 2020. te na 2,3% u 2021. Kroz čitavo razdoblje gospodarski rast će se temeljiti isključivo na doprinosu domaće potražnje, dok će doprinos neto inozemne potražnje biti negativan te će se, u apsolutnom iznosu, blago smanjivati prema kraju razdoblja. </w:t>
      </w:r>
    </w:p>
    <w:p w14:paraId="6A083258" w14:textId="77777777" w:rsidR="003A5A5F" w:rsidRPr="00B433BC" w:rsidRDefault="003A5A5F" w:rsidP="003A5A5F">
      <w:pPr>
        <w:spacing w:before="240" w:line="276" w:lineRule="auto"/>
        <w:jc w:val="both"/>
        <w:rPr>
          <w:sz w:val="24"/>
          <w:szCs w:val="24"/>
          <w:lang w:val="hr-HR"/>
        </w:rPr>
      </w:pPr>
      <w:r w:rsidRPr="00B433BC">
        <w:rPr>
          <w:sz w:val="24"/>
          <w:szCs w:val="24"/>
          <w:lang w:val="hr-HR"/>
        </w:rPr>
        <w:t xml:space="preserve">Osobna potrošnja bit će glavni pokretač </w:t>
      </w:r>
      <w:r w:rsidRPr="003244C4">
        <w:rPr>
          <w:sz w:val="24"/>
          <w:szCs w:val="24"/>
          <w:lang w:val="hr-HR"/>
        </w:rPr>
        <w:t xml:space="preserve">gospodarskog rasta </w:t>
      </w:r>
      <w:r w:rsidRPr="00B433BC">
        <w:rPr>
          <w:sz w:val="24"/>
          <w:szCs w:val="24"/>
          <w:lang w:val="hr-HR"/>
        </w:rPr>
        <w:t xml:space="preserve">u </w:t>
      </w:r>
      <w:r>
        <w:rPr>
          <w:sz w:val="24"/>
          <w:szCs w:val="24"/>
          <w:lang w:val="hr-HR"/>
        </w:rPr>
        <w:t>projekcijskom</w:t>
      </w:r>
      <w:r w:rsidRPr="00B433BC">
        <w:rPr>
          <w:sz w:val="24"/>
          <w:szCs w:val="24"/>
          <w:lang w:val="hr-HR"/>
        </w:rPr>
        <w:t xml:space="preserve"> razdoblju, unatoč njenoj blago usporavajućoj dinamici koja odražava projicirano kretanje raspoloživog dohotka kućanstava. Predviđa se da će rast osobne potrošnje u 2019. godini biti nešto viši u odnosu na 2018., odražavajući prije svega blago ubrzanje realnog rasta raspoloživog dohotka kućanstava uslijed nastavka povoljnih kretanja na tržištu rada, usporavanja inflacije potrošačkih cijena te preostalih pozitivnih učinaka trećeg kruga porezne reforme. Ovome pridodajmo i očekivani povoljni učinak na osobnu potrošnju od strane nastavka rasta potrošačkih kredita koji ipak neće biti toliko izražen kao u 2018. godini, u uvjetima zadržavanja indeksa raspoloženja potrošača na visokim razinama, kao i nastavka razdoblja niskih kamatnih stopa koje dodatno umanjuju teret duga sektora kućanstava. Tako se u nastavku promatranog razdoblja projicira usporavanje dinamike razduživanja stanovništva, uz blago snižavanje stope štednje prema ravnotežnim srednjoročnim razinama.</w:t>
      </w:r>
    </w:p>
    <w:p w14:paraId="57803E39" w14:textId="77777777" w:rsidR="003A5A5F" w:rsidRPr="00B433BC" w:rsidRDefault="003A5A5F" w:rsidP="003A5A5F">
      <w:pPr>
        <w:spacing w:before="240" w:line="276" w:lineRule="auto"/>
        <w:jc w:val="both"/>
        <w:rPr>
          <w:sz w:val="24"/>
          <w:szCs w:val="24"/>
          <w:lang w:val="hr-HR"/>
        </w:rPr>
      </w:pPr>
      <w:r w:rsidRPr="00B433BC">
        <w:rPr>
          <w:sz w:val="24"/>
          <w:szCs w:val="24"/>
          <w:lang w:val="hr-HR"/>
        </w:rPr>
        <w:t xml:space="preserve">U skladu s projekcijama fiskalnih kategorija na razini opće države, tijekom srednjoročnog razdoblja doprinos državne potrošnje gospodarskom rastu neće biti previše izražen te se očekuje njegovo </w:t>
      </w:r>
      <w:r>
        <w:rPr>
          <w:sz w:val="24"/>
          <w:szCs w:val="24"/>
          <w:lang w:val="hr-HR"/>
        </w:rPr>
        <w:t xml:space="preserve">blago </w:t>
      </w:r>
      <w:r w:rsidRPr="00B433BC">
        <w:rPr>
          <w:sz w:val="24"/>
          <w:szCs w:val="24"/>
          <w:lang w:val="hr-HR"/>
        </w:rPr>
        <w:t>usporavanje prema kraju razdoblja.</w:t>
      </w:r>
    </w:p>
    <w:p w14:paraId="6DDFEBE4" w14:textId="77777777" w:rsidR="003A5A5F" w:rsidRPr="00B433BC" w:rsidRDefault="003A5A5F" w:rsidP="003A5A5F">
      <w:pPr>
        <w:spacing w:before="240" w:line="276" w:lineRule="auto"/>
        <w:jc w:val="both"/>
        <w:rPr>
          <w:sz w:val="24"/>
          <w:szCs w:val="24"/>
          <w:lang w:val="hr-HR"/>
        </w:rPr>
      </w:pPr>
      <w:r w:rsidRPr="00B433BC">
        <w:rPr>
          <w:sz w:val="24"/>
          <w:szCs w:val="24"/>
          <w:lang w:val="hr-HR"/>
        </w:rPr>
        <w:t>Tijekom 2018. godine bruto investicije u fiksni kapital zabilježile su blago ubrzanje rasta u odnosu na prethodnu godinu. Tomu je prvenstveno pridonijelo ostvarenje u posljednjem tromjesečju koje je rezultat snažne investicijske aktivnosti opće države, posebno izražene u drugoj polovici godine, dok su privatne investicije u 2018. zabilježile smanjenje</w:t>
      </w:r>
      <w:r w:rsidRPr="003244C4">
        <w:rPr>
          <w:sz w:val="24"/>
          <w:szCs w:val="24"/>
          <w:vertAlign w:val="superscript"/>
        </w:rPr>
        <w:footnoteReference w:id="6"/>
      </w:r>
      <w:r w:rsidRPr="00B433BC">
        <w:rPr>
          <w:sz w:val="24"/>
          <w:szCs w:val="24"/>
          <w:lang w:val="hr-HR"/>
        </w:rPr>
        <w:t>. U narednom srednjoročnom razdoblju očekuje se nešto izraženiji rast investicijske aktivnosti, pri čemu će ona u 2019. godini biti generirana prvenstveno investicijama javnog sektora</w:t>
      </w:r>
      <w:r>
        <w:rPr>
          <w:rStyle w:val="FootnoteReference"/>
          <w:sz w:val="24"/>
          <w:szCs w:val="24"/>
          <w:lang w:val="hr-HR"/>
        </w:rPr>
        <w:footnoteReference w:id="7"/>
      </w:r>
      <w:r w:rsidRPr="00B433BC">
        <w:rPr>
          <w:sz w:val="24"/>
          <w:szCs w:val="24"/>
          <w:lang w:val="hr-HR"/>
        </w:rPr>
        <w:t xml:space="preserve">, dok će u ostalim godinama snažniji doprinos rastu ukupnih investicija dolaziti od privatnog sektora. Predviđeno je kako će u čitavom projekcijskom razdoblju znatno porasti korištenje sredstava kapitalne namjene iz EU fondova, naročito u sektoru opće države. Nadalje, tijekom srednjoročnog razdoblja očekuje se daljnje poboljšanje investicijske klime u uvjetima nastavka dobrih poslovnih rezultata te manje opterećenih bilanci sektora poduzeća, povoljnog kretanja indeksa ekonomskog raspoloženja, kao i zadržavanja povoljnih uvjeta financiranja na koje će zasigurno pozitivno utjecati i recentno povećanje kreditnog rejtinga </w:t>
      </w:r>
      <w:r w:rsidRPr="00B433BC">
        <w:rPr>
          <w:sz w:val="24"/>
          <w:szCs w:val="24"/>
          <w:lang w:val="hr-HR"/>
        </w:rPr>
        <w:lastRenderedPageBreak/>
        <w:t xml:space="preserve">zemlje. Na olakšanje poslovanja poduzetnika povoljno bi trebalo djelovati i daljnje porezno rasterećenje, kao i nastavak provedbe mjera smanjenja administrativnog opterećenja gospodarstva. Slijedom svega spomenutog, predviđa se i oporavak priljeva inozemnih izravnih investicija. </w:t>
      </w:r>
    </w:p>
    <w:p w14:paraId="42698C34" w14:textId="77777777" w:rsidR="003A5A5F" w:rsidRPr="00B433BC" w:rsidRDefault="003A5A5F" w:rsidP="003A5A5F">
      <w:pPr>
        <w:spacing w:before="240" w:line="276" w:lineRule="auto"/>
        <w:jc w:val="both"/>
        <w:rPr>
          <w:sz w:val="24"/>
          <w:szCs w:val="24"/>
          <w:lang w:val="hr-HR"/>
        </w:rPr>
      </w:pPr>
      <w:r w:rsidRPr="00B433BC">
        <w:rPr>
          <w:sz w:val="24"/>
          <w:szCs w:val="24"/>
          <w:lang w:val="hr-HR"/>
        </w:rPr>
        <w:t>Pristupanje RH u EU potaknulo je pozitivne strukturne promjene koje su rezultirale time da je izvoz postao glavni generator gospodarskog rasta promatrano prema pojedinačnim sastavnicama s rashodne strane. Međutim, tijekom 2018. godine izvoz je zabilježio nepovoljnija ostvarenja nego ranijih godina, i to prvenstveno radi izvoza roba. Naime, nakon pet godina uzastopnog rasta udjela na izvoznim tržištima, u 2018. je došlo do pada udjela, po prvi puta od ulaska u EU, u uvjetima usporavanja rasta inozemne potražnje. U narednim godinama, rast izvoza roba i usluga sada se očekuje na znatno nižim razinama no što je to bio slučaj u godinama nakon pristupanja EU. Pritom će kroz čitavo projekcijsko razdoblje doprinos izvoza roba biti viši od doprinosa izvoza usluga. Kako će pozitivni učinci pristupanja EU tržištu iščezavati, izvoz roba će u narednom razdoblju u puno većoj mjeri pratiti dinamiku izvozne potražnje pa se, nakon ponovnog blagog smanjenja u 2019., u ostatku projekcijskog razdoblja predviđa tek neznatan i stabilan rast udjela domaćeg izvoza roba na hrvatskim izvoznim tržištima.</w:t>
      </w:r>
    </w:p>
    <w:p w14:paraId="663482D3" w14:textId="77777777" w:rsidR="003A5A5F" w:rsidRPr="00B433BC" w:rsidRDefault="003A5A5F" w:rsidP="003A5A5F">
      <w:pPr>
        <w:spacing w:before="240" w:line="276" w:lineRule="auto"/>
        <w:jc w:val="both"/>
        <w:rPr>
          <w:sz w:val="24"/>
          <w:szCs w:val="24"/>
          <w:lang w:val="hr-HR"/>
        </w:rPr>
      </w:pPr>
      <w:r w:rsidRPr="00B433BC">
        <w:rPr>
          <w:sz w:val="24"/>
          <w:szCs w:val="24"/>
          <w:lang w:val="hr-HR"/>
        </w:rPr>
        <w:t xml:space="preserve">Iako je u 2018. godini ponovno zabilježena rekordna turistička sezona, primjetno je usporavanje rasta kako fizičkih pokazatelja, tako i prihoda od turizma u usporedbi s prethodnim godinama, naročito u vrhuncu turističke sezone, a što je primarno posljedica uzastopnih rekorda ostvarenih u proteklom razdoblju. Uslijed već visoke dosegnute razine izvoza usluga, visoke popunjenosti smještajnih kapaciteta u vrhuncu sezone, kao i infrastrukturnih ograničenosti, u srednjoročnom razdoblju očekuje se realni rast izvoza usluga na nižim razinama no što je to bio slučaj u prethodnim godinama. Nadalje, prevladavajuće okolnosti u međunarodnom okruženju također će negativno utjecati na domaći turizam, a odnose se na ponovno jačanje mediteranske konkurencije, povećanje neizvjesnosti glede svjetskih gospodarskih kretanja, slabljenje gospodarskog rasta naših glavnih emitivnih tržišta te izlazak </w:t>
      </w:r>
      <w:r>
        <w:rPr>
          <w:sz w:val="24"/>
          <w:szCs w:val="24"/>
          <w:lang w:val="hr-HR"/>
        </w:rPr>
        <w:t>Ujedinjenog Kraljevstva iz EU-a</w:t>
      </w:r>
      <w:r w:rsidRPr="00B433BC">
        <w:rPr>
          <w:sz w:val="24"/>
          <w:szCs w:val="24"/>
          <w:lang w:val="hr-HR"/>
        </w:rPr>
        <w:t xml:space="preserve">. U uvjetima jačanja konkurencije, važno je napomenuti kako se očekuje da će povoljno na prosječnu potrošnju turista djelovati povećanje kvalitete turističkih usluga. Na cjenovnu konkurentnost cjelokupnog izvoznog sektora u narednom razdoblju nepovoljno će djelovati blaga aprecijacija realnih efektivnih tečajeva kune, u uvjetima bržeg rasta domaćeg jediničnog troška rada u odnosu na EU. </w:t>
      </w:r>
    </w:p>
    <w:p w14:paraId="078BD3FD" w14:textId="77777777" w:rsidR="003A5A5F" w:rsidRPr="00B433BC" w:rsidRDefault="003A5A5F" w:rsidP="003A5A5F">
      <w:pPr>
        <w:spacing w:before="240" w:line="276" w:lineRule="auto"/>
        <w:jc w:val="both"/>
        <w:rPr>
          <w:sz w:val="24"/>
          <w:szCs w:val="24"/>
          <w:lang w:val="hr-HR"/>
        </w:rPr>
      </w:pPr>
      <w:r w:rsidRPr="00B433BC">
        <w:rPr>
          <w:sz w:val="24"/>
          <w:szCs w:val="24"/>
          <w:lang w:val="hr-HR"/>
        </w:rPr>
        <w:t xml:space="preserve">U srednjoročnom razdoblju, u skladu s projiciranim kretanjem konačne potražnje, očekuje se postupno usporavanje realnog rasta uvoza roba i usluga. Pritom se predviđa da će visoka i rastuća razina uvozne ovisnosti domaćeg gospodarstva, koja se ogleda u udjelima uvoznih komponenti pojedinačnih sastavnica konačne potražnje s rashodne strane BDP-a, uvjetovati da se elastičnost uvoza u odnosu na konačnu potražnju stabilizira na visokim razinama do kraja razdoblja, čak i uz nešto niže stope gospodarskog rasta. Pritom valja spomenuti da će u </w:t>
      </w:r>
      <w:r w:rsidRPr="00B433BC">
        <w:rPr>
          <w:sz w:val="24"/>
          <w:szCs w:val="24"/>
          <w:lang w:val="hr-HR"/>
        </w:rPr>
        <w:lastRenderedPageBreak/>
        <w:t>promatranom razdoblju najdinamičnija sastavnica BDP-a s posebno izraženom uvoznom komponentom biti investicijska potrošnja, za razliku od izvoza roba i usluga koji je to bio u proteklom razdoblju. Slijedom svega navedenog, uz projiciranu putanju gospodarske aktivnosti, saldo razmjene roba i usluga izražen u tekućim cijenama, poprimit će negativan predznak 2020. te će se nastaviti pogoršavati do kraja razdoblja. U skladu s tim, doprinos neto izvoza gospodarskom rastu, iako blago padajući, bit će negativan kroz čitavo razdoblje. Rast uvoza usluga ostati će dinamičniji od rasta uvoza roba u čitavom razdoblju.</w:t>
      </w:r>
    </w:p>
    <w:p w14:paraId="1A5043A4" w14:textId="77777777" w:rsidR="003A5A5F" w:rsidRPr="00B433BC" w:rsidRDefault="003A5A5F" w:rsidP="003A5A5F">
      <w:pPr>
        <w:spacing w:before="240" w:line="276" w:lineRule="auto"/>
        <w:jc w:val="both"/>
        <w:rPr>
          <w:sz w:val="24"/>
          <w:szCs w:val="24"/>
          <w:lang w:val="hr-HR"/>
        </w:rPr>
      </w:pPr>
      <w:r w:rsidRPr="00B433BC">
        <w:rPr>
          <w:sz w:val="24"/>
          <w:szCs w:val="24"/>
          <w:lang w:val="hr-HR"/>
        </w:rPr>
        <w:t>Nakon 1,5% ostvarenih u 2018. godini, predviđa se da će rast potrošačkih cijena u 2019. godini usporiti na 0,8%, kao posljedica očekivanog usporavanja potrošačkih cijena u eurozoni te primjene snižene stope PDV-a na određene prehrambene proizvode, dječje pelene i lijekove, čiji se utjecaj na inflaciju procjenjuje na -0,6 postotnih bodova. Očekuje se da će učinak pada cijena nafte na svjetskom tržištu na domaći indeks potrošačkih cijena biti ublažen deprecijacijom tečaja kune prema američkom dolaru. Pozitivan doprinos inflaciji u 2019. doći će od učinka prijenosa povećanja trošarina na duhan i duhanske proizvode iz prosinca 2018. u iznosu od 0,2 postotna boda, kao i rasta cijena plina početkom travnja 2019., u iznosu od 0,1 postotnog boda. Slijedom navedenog, u 2019. godini očekuje se pad cijena hrane i usporavanje rasta cijena energije u odnosu na 2018., dok će se rast potrošačkih cijena bez hrane i energije zadržati približno na razini iz prethodne godine.</w:t>
      </w:r>
      <w:r>
        <w:rPr>
          <w:sz w:val="24"/>
          <w:szCs w:val="24"/>
          <w:lang w:val="hr-HR"/>
        </w:rPr>
        <w:t xml:space="preserve"> </w:t>
      </w:r>
      <w:r w:rsidRPr="00B433BC">
        <w:rPr>
          <w:sz w:val="24"/>
          <w:szCs w:val="24"/>
          <w:lang w:val="hr-HR"/>
        </w:rPr>
        <w:t>Uslijed ubrzanja inflacije u eurozoni te iščezavanja negativnog učinka smanjenja stope PDV-a iz 2019., u 2020. godini se očekuje ubrzanje stope inflacije na razinu od 1,4%. Negativan doprinos kretanju inflacije u 2020. od -0,2 postotna boda doći će od smanjenja opće stope PDV-a s 25% na 24%. U 2021. godini se očekuje tek neznatno ubrzanje inflacije na 1,5%, uslijed blagog povećanja inflacije u eurozoni, nastavka rasta potrošnje kućanstava, te kontinuiranog rasta jediničnog troška rada, u uvjetima stagnacije cijena sirovina na svjetskom tržištu.</w:t>
      </w:r>
    </w:p>
    <w:p w14:paraId="143F9CEF" w14:textId="77777777" w:rsidR="003A5A5F" w:rsidRPr="00B433BC" w:rsidRDefault="003A5A5F" w:rsidP="003A5A5F">
      <w:pPr>
        <w:spacing w:before="240" w:line="276" w:lineRule="auto"/>
        <w:jc w:val="both"/>
        <w:rPr>
          <w:sz w:val="24"/>
          <w:szCs w:val="24"/>
          <w:lang w:val="hr-HR"/>
        </w:rPr>
      </w:pPr>
      <w:r w:rsidRPr="00B433BC">
        <w:rPr>
          <w:sz w:val="24"/>
          <w:szCs w:val="24"/>
          <w:lang w:val="hr-HR"/>
        </w:rPr>
        <w:t xml:space="preserve">Unatoč znatnom oporavku u uvjetima povoljnih cikličkih kretanja, domaće tržište rada susreće se sa strukturnim izazovima koji su se posebno intenzivirali posljednjih godina, s otvaranjem EU tržišta za domaće radnike. Neusklađenost ponude i potražnje za radom (neodgovarajuće obrazovanje, manjak vještina, slabo zastupljeno cjeloživotno učenje), nedovoljna iskorištenost radne snage te kratak ostanak na tržištu rada, dodatno su ojačani negativnim demografskim kretanjima. U uvjetima visoke potražnje za radom, opisana kretanja dovela su do zamjetnog nedostatka radne snage, povećanim potrebama za uvozom radne snage i posljedičnih pritisaka na rast plaća u pojedinim deficitarnim djelatnostima. U narednom razdoblju očekuje se da će nastavak gospodarskog rasta imati pozitivan utjecaj na blago povećanje radne snage, a čemu će doprinijeti i mjere usmjerene na prilagodbu obrazovnog sustava potrebama tržišta rada te poticanje dužeg ostanka na tržištu rada u okviru mirovinske reforme. Ovdje je ključna pretpostavka o postupnom srednjoročnom usporavanju odljeva radno sposobnog stanovništva te daljnjoj planiranoj imigraciji kroz sustav kvota. Povećanje zaposlenosti nastavit će se i u narednom srednjoročnom razdoblju, iako usporavajućom dinamikom, uz zaustavljanje trenda pada broja samozaposlenih. Uslijed </w:t>
      </w:r>
      <w:r w:rsidRPr="00B433BC">
        <w:rPr>
          <w:sz w:val="24"/>
          <w:szCs w:val="24"/>
          <w:lang w:val="hr-HR"/>
        </w:rPr>
        <w:lastRenderedPageBreak/>
        <w:t xml:space="preserve">opisanih kretanja, predviđa se daljnje smanjenje stope nezaposlenosti, </w:t>
      </w:r>
      <w:r>
        <w:rPr>
          <w:sz w:val="24"/>
          <w:szCs w:val="24"/>
          <w:lang w:val="hr-HR"/>
        </w:rPr>
        <w:t xml:space="preserve">koja će se krajem razdoblja </w:t>
      </w:r>
      <w:r w:rsidRPr="00B433BC">
        <w:rPr>
          <w:sz w:val="24"/>
          <w:szCs w:val="24"/>
          <w:lang w:val="hr-HR"/>
        </w:rPr>
        <w:t>stabiliz</w:t>
      </w:r>
      <w:r>
        <w:rPr>
          <w:sz w:val="24"/>
          <w:szCs w:val="24"/>
          <w:lang w:val="hr-HR"/>
        </w:rPr>
        <w:t>irati</w:t>
      </w:r>
      <w:r w:rsidRPr="00B433BC">
        <w:rPr>
          <w:sz w:val="24"/>
          <w:szCs w:val="24"/>
          <w:lang w:val="hr-HR"/>
        </w:rPr>
        <w:t xml:space="preserve"> na razini ispod 6%. </w:t>
      </w:r>
    </w:p>
    <w:p w14:paraId="677432B2" w14:textId="77777777" w:rsidR="003A5A5F" w:rsidRPr="00B433BC" w:rsidRDefault="003A5A5F" w:rsidP="003A5A5F">
      <w:pPr>
        <w:spacing w:before="240" w:line="276" w:lineRule="auto"/>
        <w:jc w:val="both"/>
        <w:rPr>
          <w:sz w:val="24"/>
          <w:szCs w:val="24"/>
          <w:lang w:val="hr-HR"/>
        </w:rPr>
      </w:pPr>
      <w:r w:rsidRPr="00B433BC">
        <w:rPr>
          <w:sz w:val="24"/>
          <w:szCs w:val="24"/>
          <w:lang w:val="hr-HR"/>
        </w:rPr>
        <w:t>Kretanje BDP-a te zaposlenosti u srednjem roku rezultirat će kontinuiranim rastom produktivnosti rada. Očekuje se kako će rast bruto plaća u 2019. blago usporiti, nastavno na primjetno mijenjanje trenda već krajem 2018., te i dalje biti ponajviše pod utjecajem neravnoteža ponude i potražnje za radom u pojedinim djelatnostima, uz pozitivan doprinos povećanja osnovice za plaće u javnom i državnom sektoru te rasta minimalne plaće. Uslijed bržeg rasta bruto naknada po zaposleniku od rasta produktivnosti rada, kroz čitavo srednjoročno razdoblje predviđa se rast jediničnog troška rada od oko 2%.</w:t>
      </w:r>
    </w:p>
    <w:p w14:paraId="6FC9C781" w14:textId="77777777" w:rsidR="003A5A5F" w:rsidRPr="00B433BC" w:rsidRDefault="003A5A5F" w:rsidP="003A5A5F">
      <w:pPr>
        <w:spacing w:before="240" w:line="276" w:lineRule="auto"/>
        <w:jc w:val="both"/>
        <w:rPr>
          <w:sz w:val="24"/>
          <w:szCs w:val="24"/>
          <w:lang w:val="hr-HR"/>
        </w:rPr>
      </w:pPr>
      <w:r w:rsidRPr="00B433BC">
        <w:rPr>
          <w:sz w:val="24"/>
          <w:szCs w:val="24"/>
          <w:lang w:val="hr-HR"/>
        </w:rPr>
        <w:t>Opisani makroekonomski scenarij izložen je prevladavajuće negativnim rizicima koji prvenstveno proizlaze iz vanjskog okruženja. Pritom se oni primarno odnose na ponovno jačanje trgovinskih napetosti između SAD-a i Kine, kao i proširenje carina na druge proizvode, snažnije usporavanje kineskog gospodarskog rasta od očekivanog, eventualno naglo zaoštravanje financijskih uvjeta koje bi povećalo ranjivost zemalja s visokim razinama duga, naročito u uvjetima i dalje visoke razine neizvjesnosti glede izlaska Ujedinjenog Kraljevstva iz EU-a. Domaći rizici u srednjem roku najvećim dijelom proizlaze iz ograničenja na strani ponude, ponajviše nedostatka radne snage. Glavni rizici koji bi mogli uzrokovati drugačije ostvarenje stope inflacije od prognozirane vezani su uz kretanje cijene nafte na svjetskom tržištu te kretanje administrativno reguliranih cijena, ponajprije cijena električne energije za kućanstva.</w:t>
      </w:r>
    </w:p>
    <w:p w14:paraId="2AF78ED5" w14:textId="77777777" w:rsidR="005849AE" w:rsidRPr="00025326" w:rsidRDefault="005849AE" w:rsidP="00C72D51">
      <w:pPr>
        <w:rPr>
          <w:highlight w:val="yellow"/>
          <w:lang w:val="hr-HR"/>
        </w:rPr>
      </w:pPr>
    </w:p>
    <w:p w14:paraId="762F5BAA" w14:textId="77777777" w:rsidR="003025C2" w:rsidRPr="00025326" w:rsidRDefault="00EC054E" w:rsidP="00C72D51">
      <w:pPr>
        <w:rPr>
          <w:highlight w:val="yellow"/>
          <w:lang w:val="hr-HR"/>
        </w:rPr>
      </w:pPr>
      <w:r w:rsidRPr="00025326">
        <w:rPr>
          <w:highlight w:val="yellow"/>
          <w:lang w:val="hr-HR"/>
        </w:rPr>
        <w:br w:type="page"/>
      </w:r>
    </w:p>
    <w:p w14:paraId="11DC843E" w14:textId="77777777" w:rsidR="00A11107" w:rsidRPr="00556D6A" w:rsidRDefault="00350D57" w:rsidP="0004031F">
      <w:pPr>
        <w:pStyle w:val="Heading1"/>
        <w:numPr>
          <w:ilvl w:val="0"/>
          <w:numId w:val="1"/>
        </w:numPr>
        <w:spacing w:line="276" w:lineRule="auto"/>
        <w:rPr>
          <w:lang w:val="hr-HR"/>
        </w:rPr>
      </w:pPr>
      <w:bookmarkStart w:id="31" w:name="_Toc10032431"/>
      <w:r w:rsidRPr="00556D6A">
        <w:rPr>
          <w:lang w:val="hr-HR"/>
        </w:rPr>
        <w:lastRenderedPageBreak/>
        <w:t>KR</w:t>
      </w:r>
      <w:r w:rsidR="00476F1B" w:rsidRPr="00556D6A">
        <w:rPr>
          <w:lang w:val="hr-HR"/>
        </w:rPr>
        <w:t>EDITNI REJTING REPUBLIKE HRVATSKE</w:t>
      </w:r>
      <w:bookmarkEnd w:id="31"/>
    </w:p>
    <w:p w14:paraId="53C9FF30" w14:textId="77777777" w:rsidR="00B90E36" w:rsidRPr="00B90E36" w:rsidRDefault="00B90E36" w:rsidP="00B90E36">
      <w:pPr>
        <w:spacing w:before="240" w:line="276" w:lineRule="auto"/>
        <w:rPr>
          <w:lang w:val="hr-HR"/>
        </w:rPr>
      </w:pPr>
    </w:p>
    <w:p w14:paraId="074FA4EA" w14:textId="77777777" w:rsidR="00B90E36" w:rsidRPr="00B90E36" w:rsidRDefault="00B90E36" w:rsidP="00B90E36">
      <w:pPr>
        <w:spacing w:before="240" w:line="276" w:lineRule="auto"/>
        <w:jc w:val="both"/>
        <w:rPr>
          <w:sz w:val="24"/>
          <w:lang w:val="hr-HR"/>
        </w:rPr>
      </w:pPr>
      <w:r w:rsidRPr="00B90E36">
        <w:rPr>
          <w:sz w:val="24"/>
          <w:lang w:val="hr-HR"/>
        </w:rPr>
        <w:t xml:space="preserve">RH ima ocjene kreditnog rejtinga triju vodećih specijaliziranih agencija za procjenu kreditne sposobnosti i to agencije: </w:t>
      </w:r>
      <w:r w:rsidRPr="00B90E36">
        <w:rPr>
          <w:i/>
          <w:sz w:val="24"/>
          <w:lang w:val="hr-HR"/>
        </w:rPr>
        <w:t>Moody`s Investors Service</w:t>
      </w:r>
      <w:r w:rsidRPr="00B90E36">
        <w:rPr>
          <w:sz w:val="24"/>
          <w:lang w:val="hr-HR"/>
        </w:rPr>
        <w:t xml:space="preserve"> (u daljnjem tekstu: Moody's),</w:t>
      </w:r>
      <w:r w:rsidRPr="00B90E36">
        <w:rPr>
          <w:i/>
          <w:sz w:val="24"/>
          <w:lang w:val="hr-HR"/>
        </w:rPr>
        <w:t xml:space="preserve"> Standard &amp; Poor`s </w:t>
      </w:r>
      <w:r w:rsidRPr="00F560F8">
        <w:rPr>
          <w:sz w:val="24"/>
          <w:lang w:val="hr-HR"/>
        </w:rPr>
        <w:t>(</w:t>
      </w:r>
      <w:r w:rsidRPr="00B90E36">
        <w:rPr>
          <w:sz w:val="24"/>
          <w:lang w:val="hr-HR"/>
        </w:rPr>
        <w:t xml:space="preserve">u daljnjem tekstu: S&amp;P) i </w:t>
      </w:r>
      <w:r w:rsidRPr="00B90E36">
        <w:rPr>
          <w:i/>
          <w:sz w:val="24"/>
          <w:lang w:val="hr-HR"/>
        </w:rPr>
        <w:t>Fitch Ratings</w:t>
      </w:r>
      <w:r w:rsidRPr="00B90E36">
        <w:rPr>
          <w:sz w:val="24"/>
          <w:lang w:val="hr-HR"/>
        </w:rPr>
        <w:t xml:space="preserve"> (u daljnjem tekstu: Fitch). Pored navedenih, RH ima i ocjenu japanske rejting agencije </w:t>
      </w:r>
      <w:r w:rsidRPr="00B90E36">
        <w:rPr>
          <w:i/>
          <w:sz w:val="24"/>
          <w:lang w:val="hr-HR"/>
        </w:rPr>
        <w:t>Rating &amp; Investment Information</w:t>
      </w:r>
      <w:r w:rsidRPr="00B90E36">
        <w:rPr>
          <w:sz w:val="24"/>
          <w:lang w:val="hr-HR"/>
        </w:rPr>
        <w:t xml:space="preserve"> (u daljnjem tekstu: R&amp;I), specijalizirane za dodjelu rejting ocjena izdavatelja vrijednosnih papira u Japanu. Navedene agencije svake godine obavljaju provjeru dodijeljenog kreditnog rejtinga.</w:t>
      </w:r>
    </w:p>
    <w:p w14:paraId="15765BA2" w14:textId="77777777" w:rsidR="00375B6E" w:rsidRDefault="00B90E36" w:rsidP="00B90E36">
      <w:pPr>
        <w:spacing w:before="240" w:line="276" w:lineRule="auto"/>
        <w:jc w:val="both"/>
        <w:rPr>
          <w:sz w:val="24"/>
          <w:lang w:val="hr-HR"/>
        </w:rPr>
      </w:pPr>
      <w:r w:rsidRPr="00375B6E">
        <w:rPr>
          <w:sz w:val="24"/>
          <w:lang w:val="hr-HR"/>
        </w:rPr>
        <w:t xml:space="preserve">Odgovorno vođenje fiskalne politike prepoznale su </w:t>
      </w:r>
      <w:r w:rsidR="00375B6E">
        <w:rPr>
          <w:sz w:val="24"/>
          <w:lang w:val="hr-HR"/>
        </w:rPr>
        <w:t xml:space="preserve">i tri vodeće svjetske rejting agencije. Tako su </w:t>
      </w:r>
      <w:r w:rsidR="00375B6E" w:rsidRPr="00375B6E">
        <w:rPr>
          <w:sz w:val="24"/>
          <w:lang w:val="hr-HR"/>
        </w:rPr>
        <w:t>tijekom</w:t>
      </w:r>
      <w:r w:rsidRPr="00375B6E">
        <w:rPr>
          <w:sz w:val="24"/>
          <w:lang w:val="hr-HR"/>
        </w:rPr>
        <w:t xml:space="preserve"> 2017. godine poboljšale izglede za hrvatski kreditni rejting koji je u razdoblju 2012. - 2015. dva puta smanjivan. </w:t>
      </w:r>
      <w:r w:rsidR="00375B6E">
        <w:rPr>
          <w:sz w:val="24"/>
          <w:lang w:val="hr-HR"/>
        </w:rPr>
        <w:t>U</w:t>
      </w:r>
      <w:r w:rsidR="00375B6E" w:rsidRPr="00375B6E">
        <w:rPr>
          <w:sz w:val="24"/>
          <w:lang w:val="hr-HR"/>
        </w:rPr>
        <w:t xml:space="preserve"> siječnju 2018. godine </w:t>
      </w:r>
      <w:r w:rsidR="00375B6E">
        <w:rPr>
          <w:sz w:val="24"/>
          <w:lang w:val="hr-HR"/>
        </w:rPr>
        <w:t xml:space="preserve">rejting agencija Fitch </w:t>
      </w:r>
      <w:r w:rsidR="00375B6E" w:rsidRPr="00375B6E">
        <w:rPr>
          <w:sz w:val="24"/>
          <w:lang w:val="hr-HR"/>
        </w:rPr>
        <w:t xml:space="preserve">poboljšala </w:t>
      </w:r>
      <w:r w:rsidR="00375B6E">
        <w:rPr>
          <w:sz w:val="24"/>
          <w:lang w:val="hr-HR"/>
        </w:rPr>
        <w:t xml:space="preserve">je </w:t>
      </w:r>
      <w:r w:rsidR="00375B6E" w:rsidRPr="00375B6E">
        <w:rPr>
          <w:sz w:val="24"/>
          <w:lang w:val="hr-HR"/>
        </w:rPr>
        <w:t xml:space="preserve">kreditni rejting </w:t>
      </w:r>
      <w:r w:rsidR="00375B6E">
        <w:rPr>
          <w:sz w:val="24"/>
          <w:lang w:val="hr-HR"/>
        </w:rPr>
        <w:t>RH</w:t>
      </w:r>
      <w:r w:rsidR="00375B6E" w:rsidRPr="00375B6E">
        <w:rPr>
          <w:sz w:val="24"/>
          <w:lang w:val="hr-HR"/>
        </w:rPr>
        <w:t xml:space="preserve"> s 'BB' na 'BB+' uz stabilne izglede, zahvaljujući stabilnom rastu gospodarstva, snažnoj turističkoj sezoni i poboljšanju javnih financija, što je bilo prvo povećanje kreditnog rejtinga </w:t>
      </w:r>
      <w:r w:rsidR="008575A6">
        <w:rPr>
          <w:sz w:val="24"/>
          <w:lang w:val="hr-HR"/>
        </w:rPr>
        <w:t>RH</w:t>
      </w:r>
      <w:r w:rsidR="00375B6E" w:rsidRPr="00375B6E">
        <w:rPr>
          <w:sz w:val="24"/>
          <w:lang w:val="hr-HR"/>
        </w:rPr>
        <w:t xml:space="preserve"> od 2004. godine. Nadalje, u ožujku 2018. je i agencija S&amp;P podigla rejting </w:t>
      </w:r>
      <w:r w:rsidR="008575A6">
        <w:rPr>
          <w:sz w:val="24"/>
          <w:lang w:val="hr-HR"/>
        </w:rPr>
        <w:t>RH</w:t>
      </w:r>
      <w:r w:rsidR="00786F1B">
        <w:rPr>
          <w:sz w:val="24"/>
          <w:lang w:val="hr-HR"/>
        </w:rPr>
        <w:t xml:space="preserve"> s</w:t>
      </w:r>
      <w:r w:rsidR="00375B6E" w:rsidRPr="00375B6E">
        <w:rPr>
          <w:sz w:val="24"/>
          <w:lang w:val="hr-HR"/>
        </w:rPr>
        <w:t xml:space="preserve"> 'BB' na 'BB+' uz stabilne izglede</w:t>
      </w:r>
      <w:r w:rsidR="008575A6">
        <w:rPr>
          <w:sz w:val="24"/>
          <w:lang w:val="hr-HR"/>
        </w:rPr>
        <w:t>, prije svega</w:t>
      </w:r>
      <w:r w:rsidR="00375B6E" w:rsidRPr="00375B6E">
        <w:rPr>
          <w:sz w:val="24"/>
          <w:lang w:val="hr-HR"/>
        </w:rPr>
        <w:t xml:space="preserve"> zbog daljnjeg smanjenja javnog duga i poboljšane fiskalne pozicije zemlje kojoj doprinosi ekonomski oporavak</w:t>
      </w:r>
      <w:r w:rsidR="008575A6">
        <w:rPr>
          <w:sz w:val="24"/>
          <w:lang w:val="hr-HR"/>
        </w:rPr>
        <w:t>, ali i proveden</w:t>
      </w:r>
      <w:r w:rsidR="00786F1B">
        <w:rPr>
          <w:sz w:val="24"/>
          <w:lang w:val="hr-HR"/>
        </w:rPr>
        <w:t>a</w:t>
      </w:r>
      <w:r w:rsidR="008575A6">
        <w:rPr>
          <w:sz w:val="24"/>
          <w:lang w:val="hr-HR"/>
        </w:rPr>
        <w:t xml:space="preserve"> porezn</w:t>
      </w:r>
      <w:r w:rsidR="00786F1B">
        <w:rPr>
          <w:sz w:val="24"/>
          <w:lang w:val="hr-HR"/>
        </w:rPr>
        <w:t>a</w:t>
      </w:r>
      <w:r w:rsidR="008575A6">
        <w:rPr>
          <w:sz w:val="24"/>
          <w:lang w:val="hr-HR"/>
        </w:rPr>
        <w:t xml:space="preserve"> reform</w:t>
      </w:r>
      <w:r w:rsidR="00786F1B">
        <w:rPr>
          <w:sz w:val="24"/>
          <w:lang w:val="hr-HR"/>
        </w:rPr>
        <w:t>a</w:t>
      </w:r>
      <w:r w:rsidR="00375B6E" w:rsidRPr="00375B6E">
        <w:rPr>
          <w:sz w:val="24"/>
          <w:lang w:val="hr-HR"/>
        </w:rPr>
        <w:t xml:space="preserve"> iz 2017. godine. Daljnja pozitivna fiskalna kretanja, poboljšanje inozemne pozicije zemlje te nastavak inozemnog razduživanja gospodarstva kao i snažan rast deviznih pričuva, utjecali su na nov</w:t>
      </w:r>
      <w:r w:rsidR="00DA534F">
        <w:rPr>
          <w:sz w:val="24"/>
          <w:lang w:val="hr-HR"/>
        </w:rPr>
        <w:t>e</w:t>
      </w:r>
      <w:r w:rsidR="00375B6E" w:rsidRPr="00375B6E">
        <w:rPr>
          <w:sz w:val="24"/>
          <w:lang w:val="hr-HR"/>
        </w:rPr>
        <w:t xml:space="preserve"> odluk</w:t>
      </w:r>
      <w:r w:rsidR="00DA534F">
        <w:rPr>
          <w:sz w:val="24"/>
          <w:lang w:val="hr-HR"/>
        </w:rPr>
        <w:t>e</w:t>
      </w:r>
      <w:r w:rsidR="00375B6E" w:rsidRPr="00375B6E">
        <w:rPr>
          <w:sz w:val="24"/>
          <w:lang w:val="hr-HR"/>
        </w:rPr>
        <w:t xml:space="preserve"> rejting agencija Fitch i S&amp;P koj</w:t>
      </w:r>
      <w:r w:rsidR="00DA534F">
        <w:rPr>
          <w:sz w:val="24"/>
          <w:lang w:val="hr-HR"/>
        </w:rPr>
        <w:t>ima</w:t>
      </w:r>
      <w:r w:rsidR="00375B6E" w:rsidRPr="00375B6E">
        <w:rPr>
          <w:sz w:val="24"/>
          <w:lang w:val="hr-HR"/>
        </w:rPr>
        <w:t xml:space="preserve"> su u srpnju, odnosno rujnu 2018. godine poboljšal</w:t>
      </w:r>
      <w:r w:rsidR="00DA534F">
        <w:rPr>
          <w:sz w:val="24"/>
          <w:lang w:val="hr-HR"/>
        </w:rPr>
        <w:t>i</w:t>
      </w:r>
      <w:r w:rsidR="00375B6E" w:rsidRPr="00375B6E">
        <w:rPr>
          <w:sz w:val="24"/>
          <w:lang w:val="hr-HR"/>
        </w:rPr>
        <w:t xml:space="preserve"> izglede za rejting sa stabilnih na pozitivne. U prosincu 2018. godine agencija Fitch je zadržala hrvatski kreditni rejting na 'BB+', a izglede pozitivnima.</w:t>
      </w:r>
    </w:p>
    <w:p w14:paraId="78A61949" w14:textId="77777777" w:rsidR="004E5CF0" w:rsidRPr="004E5CF0" w:rsidRDefault="00AF3B2D" w:rsidP="004E5CF0">
      <w:pPr>
        <w:spacing w:before="240" w:line="276" w:lineRule="auto"/>
        <w:jc w:val="both"/>
        <w:rPr>
          <w:sz w:val="24"/>
          <w:lang w:val="hr-HR"/>
        </w:rPr>
      </w:pPr>
      <w:r>
        <w:rPr>
          <w:sz w:val="24"/>
          <w:lang w:val="hr-HR"/>
        </w:rPr>
        <w:t>U ožujku</w:t>
      </w:r>
      <w:r w:rsidR="004E5CF0" w:rsidRPr="004E5CF0">
        <w:rPr>
          <w:sz w:val="24"/>
          <w:lang w:val="hr-HR"/>
        </w:rPr>
        <w:t xml:space="preserve"> 2019. </w:t>
      </w:r>
      <w:r w:rsidR="00786F1B">
        <w:rPr>
          <w:sz w:val="24"/>
          <w:lang w:val="hr-HR"/>
        </w:rPr>
        <w:t xml:space="preserve">godine </w:t>
      </w:r>
      <w:r w:rsidR="004E5CF0" w:rsidRPr="004E5CF0">
        <w:rPr>
          <w:sz w:val="24"/>
          <w:lang w:val="hr-HR"/>
        </w:rPr>
        <w:t xml:space="preserve">rejting agencija S&amp;P podigla je kreditni rejting </w:t>
      </w:r>
      <w:r w:rsidR="004E5CF0">
        <w:rPr>
          <w:sz w:val="24"/>
          <w:lang w:val="hr-HR"/>
        </w:rPr>
        <w:t>RH</w:t>
      </w:r>
      <w:r w:rsidR="004E5CF0" w:rsidRPr="004E5CF0">
        <w:rPr>
          <w:sz w:val="24"/>
          <w:lang w:val="hr-HR"/>
        </w:rPr>
        <w:t xml:space="preserve"> na razinu investicijskog, s BB+/B na BBB-/A-3 uz stabilne izglede. Prema njihovom Izvješću, takva ocjena prvenstveno se temelji na poboljšanoj fiskalnoj poziciji kojoj doprinosi ekonomski oporavak zbog pojačane domaće potražnje potaknute učincima porezne reforme te mjere fiskalne konsolidacije. </w:t>
      </w:r>
      <w:r w:rsidR="001F029E">
        <w:rPr>
          <w:sz w:val="24"/>
          <w:lang w:val="hr-HR"/>
        </w:rPr>
        <w:t>E</w:t>
      </w:r>
      <w:r w:rsidR="004E5CF0" w:rsidRPr="004E5CF0">
        <w:rPr>
          <w:sz w:val="24"/>
          <w:lang w:val="hr-HR"/>
        </w:rPr>
        <w:t xml:space="preserve">konomski rast popraćen je trajnim suficitima na tekućem računu platne bilance, posebice temeljem prihoda od turizma, </w:t>
      </w:r>
      <w:r w:rsidR="00C20059">
        <w:rPr>
          <w:sz w:val="24"/>
          <w:lang w:val="hr-HR"/>
        </w:rPr>
        <w:t xml:space="preserve">što je </w:t>
      </w:r>
      <w:r w:rsidR="001F029E">
        <w:rPr>
          <w:sz w:val="24"/>
          <w:lang w:val="hr-HR"/>
        </w:rPr>
        <w:t>doprinijelo</w:t>
      </w:r>
      <w:r w:rsidR="00C20059">
        <w:rPr>
          <w:sz w:val="24"/>
          <w:lang w:val="hr-HR"/>
        </w:rPr>
        <w:t xml:space="preserve"> i</w:t>
      </w:r>
      <w:r w:rsidR="004E5CF0" w:rsidRPr="004E5CF0">
        <w:rPr>
          <w:sz w:val="24"/>
          <w:lang w:val="hr-HR"/>
        </w:rPr>
        <w:t xml:space="preserve"> smanjenju vanjskih neravnoteža.</w:t>
      </w:r>
      <w:r>
        <w:rPr>
          <w:sz w:val="24"/>
          <w:lang w:val="hr-HR"/>
        </w:rPr>
        <w:t xml:space="preserve"> Krajem travnja ove godine agencija Moody's zadržala je rejting RH </w:t>
      </w:r>
      <w:r w:rsidR="00A50C30">
        <w:rPr>
          <w:sz w:val="24"/>
          <w:lang w:val="hr-HR"/>
        </w:rPr>
        <w:t>na 'Ba2' te poboljšala prognozu iz stabilne u pozitivnu, ukazujući na poboljšanu fiskalnu poziciju i reforme za koje se ocjenjuje da će pozitivno utjecati na izglede za rast hrvatskog gospodarstva.</w:t>
      </w:r>
    </w:p>
    <w:p w14:paraId="1724F1A5" w14:textId="77777777" w:rsidR="00B90E36" w:rsidRDefault="00B90E36" w:rsidP="00B90E36">
      <w:pPr>
        <w:spacing w:before="240" w:line="276" w:lineRule="auto"/>
        <w:jc w:val="both"/>
        <w:rPr>
          <w:sz w:val="24"/>
          <w:lang w:val="hr-HR"/>
        </w:rPr>
      </w:pPr>
      <w:r w:rsidRPr="004E5CF0">
        <w:rPr>
          <w:sz w:val="24"/>
          <w:lang w:val="hr-HR"/>
        </w:rPr>
        <w:t>Pregled ocjene kredi</w:t>
      </w:r>
      <w:r w:rsidR="00AE4108">
        <w:rPr>
          <w:sz w:val="24"/>
          <w:lang w:val="hr-HR"/>
        </w:rPr>
        <w:t>tnog rejtinga RH prikazan je u T</w:t>
      </w:r>
      <w:r w:rsidRPr="004E5CF0">
        <w:rPr>
          <w:sz w:val="24"/>
          <w:lang w:val="hr-HR"/>
        </w:rPr>
        <w:t>ablici 4</w:t>
      </w:r>
      <w:r w:rsidR="00AE4108">
        <w:rPr>
          <w:sz w:val="24"/>
          <w:lang w:val="hr-HR"/>
        </w:rPr>
        <w:t>.</w:t>
      </w:r>
      <w:r w:rsidRPr="004E5CF0">
        <w:rPr>
          <w:sz w:val="24"/>
          <w:lang w:val="hr-HR"/>
        </w:rPr>
        <w:t xml:space="preserve"> uz danu usporedbu s državama članicama EU.</w:t>
      </w:r>
    </w:p>
    <w:p w14:paraId="7F56FE9C" w14:textId="77777777" w:rsidR="008531FB" w:rsidRDefault="008531FB" w:rsidP="00B90E36">
      <w:pPr>
        <w:spacing w:before="240" w:line="276" w:lineRule="auto"/>
        <w:jc w:val="both"/>
        <w:rPr>
          <w:sz w:val="24"/>
          <w:lang w:val="hr-HR"/>
        </w:rPr>
      </w:pPr>
    </w:p>
    <w:p w14:paraId="4772A54D" w14:textId="77777777" w:rsidR="008531FB" w:rsidRPr="00B90E36" w:rsidRDefault="008531FB" w:rsidP="00B90E36">
      <w:pPr>
        <w:spacing w:before="240" w:line="276" w:lineRule="auto"/>
        <w:jc w:val="both"/>
        <w:rPr>
          <w:sz w:val="24"/>
          <w:highlight w:val="yellow"/>
          <w:lang w:val="hr-HR"/>
        </w:rPr>
      </w:pPr>
    </w:p>
    <w:p w14:paraId="143C53EA" w14:textId="77777777" w:rsidR="00476F1B" w:rsidRPr="00411A7F" w:rsidRDefault="00476F1B" w:rsidP="0035474D">
      <w:pPr>
        <w:pStyle w:val="Caption"/>
        <w:spacing w:before="240" w:line="276" w:lineRule="auto"/>
        <w:rPr>
          <w:i/>
          <w:sz w:val="24"/>
          <w:lang w:val="hr-HR"/>
        </w:rPr>
      </w:pPr>
      <w:bookmarkStart w:id="32" w:name="_Toc10032448"/>
      <w:r w:rsidRPr="00411A7F">
        <w:rPr>
          <w:i/>
          <w:sz w:val="24"/>
          <w:lang w:val="hr-HR"/>
        </w:rPr>
        <w:lastRenderedPageBreak/>
        <w:t xml:space="preserve">Tablica </w:t>
      </w:r>
      <w:r w:rsidRPr="00411A7F">
        <w:rPr>
          <w:i/>
          <w:sz w:val="24"/>
          <w:lang w:val="hr-HR"/>
        </w:rPr>
        <w:fldChar w:fldCharType="begin"/>
      </w:r>
      <w:r w:rsidRPr="00411A7F">
        <w:rPr>
          <w:i/>
          <w:sz w:val="24"/>
          <w:lang w:val="hr-HR"/>
        </w:rPr>
        <w:instrText xml:space="preserve"> SEQ Tablica \* ARABIC </w:instrText>
      </w:r>
      <w:r w:rsidRPr="00411A7F">
        <w:rPr>
          <w:i/>
          <w:sz w:val="24"/>
          <w:lang w:val="hr-HR"/>
        </w:rPr>
        <w:fldChar w:fldCharType="separate"/>
      </w:r>
      <w:r w:rsidR="00CE0BC8">
        <w:rPr>
          <w:i/>
          <w:noProof/>
          <w:sz w:val="24"/>
          <w:lang w:val="hr-HR"/>
        </w:rPr>
        <w:t>4</w:t>
      </w:r>
      <w:r w:rsidRPr="00411A7F">
        <w:rPr>
          <w:i/>
          <w:sz w:val="24"/>
          <w:lang w:val="hr-HR"/>
        </w:rPr>
        <w:fldChar w:fldCharType="end"/>
      </w:r>
      <w:r w:rsidRPr="00411A7F">
        <w:rPr>
          <w:i/>
          <w:sz w:val="24"/>
          <w:lang w:val="hr-HR"/>
        </w:rPr>
        <w:t>: Usporedba kreditnih ocjena zemalja Europske unije</w:t>
      </w:r>
      <w:bookmarkEnd w:id="32"/>
    </w:p>
    <w:p w14:paraId="696C02C9" w14:textId="77777777" w:rsidR="00A32AA5" w:rsidRPr="00B90E36" w:rsidRDefault="00411A7F" w:rsidP="006B2F1F">
      <w:pPr>
        <w:rPr>
          <w:highlight w:val="yellow"/>
          <w:lang w:val="hr-HR"/>
        </w:rPr>
      </w:pPr>
      <w:r w:rsidRPr="00411A7F">
        <w:rPr>
          <w:noProof/>
          <w:lang w:val="hr-HR" w:eastAsia="hr-HR"/>
        </w:rPr>
        <w:drawing>
          <wp:inline distT="0" distB="0" distL="0" distR="0" wp14:anchorId="340C79B0" wp14:editId="5DA536DE">
            <wp:extent cx="5435600" cy="5638800"/>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5600" cy="5638800"/>
                    </a:xfrm>
                    <a:prstGeom prst="rect">
                      <a:avLst/>
                    </a:prstGeom>
                    <a:noFill/>
                    <a:ln>
                      <a:noFill/>
                    </a:ln>
                  </pic:spPr>
                </pic:pic>
              </a:graphicData>
            </a:graphic>
          </wp:inline>
        </w:drawing>
      </w:r>
    </w:p>
    <w:p w14:paraId="6FB3BD7F" w14:textId="77777777" w:rsidR="00476F1B" w:rsidRPr="00411A7F" w:rsidRDefault="00476F1B" w:rsidP="00EE54A1">
      <w:pPr>
        <w:rPr>
          <w:lang w:val="hr-HR"/>
        </w:rPr>
      </w:pPr>
      <w:r w:rsidRPr="00411A7F">
        <w:rPr>
          <w:i/>
          <w:sz w:val="20"/>
          <w:lang w:val="hr-HR"/>
        </w:rPr>
        <w:t>Izvor: Ministarstvo financija, Bloomberg</w:t>
      </w:r>
    </w:p>
    <w:p w14:paraId="5D79A13A" w14:textId="77777777" w:rsidR="00B90E36" w:rsidRPr="00C771BC" w:rsidRDefault="00B90E36" w:rsidP="00B90E36">
      <w:pPr>
        <w:spacing w:before="240" w:line="276" w:lineRule="auto"/>
        <w:jc w:val="both"/>
        <w:rPr>
          <w:sz w:val="24"/>
          <w:lang w:val="hr-HR"/>
        </w:rPr>
      </w:pPr>
      <w:r w:rsidRPr="00C771BC">
        <w:rPr>
          <w:sz w:val="24"/>
          <w:lang w:val="hr-HR"/>
        </w:rPr>
        <w:t>U nastavku je dan i kalendar objava kreditnog rejtinga RH spomenutih triju ključnih kreditnih agencija u 201</w:t>
      </w:r>
      <w:r w:rsidR="00C771BC">
        <w:rPr>
          <w:sz w:val="24"/>
          <w:lang w:val="hr-HR"/>
        </w:rPr>
        <w:t>9</w:t>
      </w:r>
      <w:r w:rsidRPr="00C771BC">
        <w:rPr>
          <w:sz w:val="24"/>
          <w:lang w:val="hr-HR"/>
        </w:rPr>
        <w:t>. godini.</w:t>
      </w:r>
    </w:p>
    <w:p w14:paraId="1E2B2416" w14:textId="77777777" w:rsidR="007017D9" w:rsidRDefault="004C2FF8" w:rsidP="004C2FF8">
      <w:pPr>
        <w:pStyle w:val="Caption"/>
        <w:spacing w:before="240" w:line="276" w:lineRule="auto"/>
        <w:rPr>
          <w:i/>
          <w:sz w:val="24"/>
          <w:lang w:val="hr-HR"/>
        </w:rPr>
      </w:pPr>
      <w:bookmarkStart w:id="33" w:name="_Toc10032449"/>
      <w:r w:rsidRPr="00411A7F">
        <w:rPr>
          <w:i/>
          <w:sz w:val="24"/>
          <w:lang w:val="hr-HR"/>
        </w:rPr>
        <w:t xml:space="preserve">Tablica </w:t>
      </w:r>
      <w:r w:rsidRPr="00411A7F">
        <w:rPr>
          <w:i/>
          <w:sz w:val="24"/>
          <w:lang w:val="hr-HR"/>
        </w:rPr>
        <w:fldChar w:fldCharType="begin"/>
      </w:r>
      <w:r w:rsidRPr="00411A7F">
        <w:rPr>
          <w:i/>
          <w:sz w:val="24"/>
          <w:lang w:val="hr-HR"/>
        </w:rPr>
        <w:instrText xml:space="preserve"> SEQ Tablica \* ARABIC </w:instrText>
      </w:r>
      <w:r w:rsidRPr="00411A7F">
        <w:rPr>
          <w:i/>
          <w:sz w:val="24"/>
          <w:lang w:val="hr-HR"/>
        </w:rPr>
        <w:fldChar w:fldCharType="separate"/>
      </w:r>
      <w:r w:rsidR="00CE0BC8">
        <w:rPr>
          <w:i/>
          <w:noProof/>
          <w:sz w:val="24"/>
          <w:lang w:val="hr-HR"/>
        </w:rPr>
        <w:t>5</w:t>
      </w:r>
      <w:r w:rsidRPr="00411A7F">
        <w:rPr>
          <w:i/>
          <w:sz w:val="24"/>
          <w:lang w:val="hr-HR"/>
        </w:rPr>
        <w:fldChar w:fldCharType="end"/>
      </w:r>
      <w:r w:rsidRPr="00411A7F">
        <w:rPr>
          <w:i/>
          <w:sz w:val="24"/>
          <w:lang w:val="hr-HR"/>
        </w:rPr>
        <w:t xml:space="preserve">: </w:t>
      </w:r>
      <w:r w:rsidR="007017D9" w:rsidRPr="00411A7F">
        <w:rPr>
          <w:i/>
          <w:sz w:val="24"/>
          <w:lang w:val="hr-HR"/>
        </w:rPr>
        <w:t>Kalendar objava kreditnog rejtinga Republike Hrvatske u 201</w:t>
      </w:r>
      <w:r w:rsidR="002219D9">
        <w:rPr>
          <w:i/>
          <w:sz w:val="24"/>
          <w:lang w:val="hr-HR"/>
        </w:rPr>
        <w:t>9</w:t>
      </w:r>
      <w:r w:rsidR="007017D9" w:rsidRPr="00411A7F">
        <w:rPr>
          <w:i/>
          <w:sz w:val="24"/>
          <w:lang w:val="hr-HR"/>
        </w:rPr>
        <w:t xml:space="preserve">. </w:t>
      </w:r>
      <w:r w:rsidR="002219D9">
        <w:rPr>
          <w:i/>
          <w:sz w:val="24"/>
          <w:lang w:val="hr-HR"/>
        </w:rPr>
        <w:t>g</w:t>
      </w:r>
      <w:r w:rsidR="007017D9" w:rsidRPr="00411A7F">
        <w:rPr>
          <w:i/>
          <w:sz w:val="24"/>
          <w:lang w:val="hr-HR"/>
        </w:rPr>
        <w:t>odini</w:t>
      </w:r>
      <w:bookmarkEnd w:id="33"/>
    </w:p>
    <w:p w14:paraId="781416B0" w14:textId="77777777" w:rsidR="00411A7F" w:rsidRPr="00411A7F" w:rsidRDefault="00411A7F" w:rsidP="00411A7F">
      <w:pPr>
        <w:rPr>
          <w:lang w:val="hr-HR"/>
        </w:rPr>
      </w:pPr>
      <w:r w:rsidRPr="00411A7F">
        <w:rPr>
          <w:noProof/>
          <w:lang w:val="hr-HR" w:eastAsia="hr-HR"/>
        </w:rPr>
        <w:drawing>
          <wp:inline distT="0" distB="0" distL="0" distR="0" wp14:anchorId="2636CC00" wp14:editId="1F3CDE50">
            <wp:extent cx="4718050" cy="996950"/>
            <wp:effectExtent l="0" t="0" r="635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18050" cy="996950"/>
                    </a:xfrm>
                    <a:prstGeom prst="rect">
                      <a:avLst/>
                    </a:prstGeom>
                    <a:noFill/>
                    <a:ln>
                      <a:noFill/>
                    </a:ln>
                  </pic:spPr>
                </pic:pic>
              </a:graphicData>
            </a:graphic>
          </wp:inline>
        </w:drawing>
      </w:r>
    </w:p>
    <w:p w14:paraId="35B74EB5" w14:textId="77777777" w:rsidR="006B2F1F" w:rsidRPr="00411A7F" w:rsidRDefault="00CD7A6E" w:rsidP="00CD7A6E">
      <w:pPr>
        <w:spacing w:line="276" w:lineRule="auto"/>
        <w:rPr>
          <w:i/>
          <w:sz w:val="20"/>
          <w:szCs w:val="20"/>
          <w:lang w:val="hr-HR"/>
        </w:rPr>
      </w:pPr>
      <w:r w:rsidRPr="00411A7F">
        <w:rPr>
          <w:i/>
          <w:sz w:val="20"/>
          <w:szCs w:val="20"/>
          <w:lang w:val="hr-HR"/>
        </w:rPr>
        <w:t>Izvor: Moody's, Standard &amp; Poors, Fitch</w:t>
      </w:r>
    </w:p>
    <w:p w14:paraId="54533777" w14:textId="77777777" w:rsidR="00847BA1" w:rsidRPr="00025326" w:rsidRDefault="00847BA1" w:rsidP="00CD7A6E">
      <w:pPr>
        <w:spacing w:line="276" w:lineRule="auto"/>
        <w:rPr>
          <w:rFonts w:asciiTheme="majorHAnsi" w:eastAsiaTheme="majorEastAsia" w:hAnsiTheme="majorHAnsi" w:cstheme="majorBidi"/>
          <w:b/>
          <w:bCs/>
          <w:color w:val="365F91" w:themeColor="accent1" w:themeShade="BF"/>
          <w:sz w:val="28"/>
          <w:szCs w:val="28"/>
          <w:highlight w:val="yellow"/>
          <w:lang w:val="hr-HR"/>
        </w:rPr>
      </w:pPr>
      <w:r w:rsidRPr="00025326">
        <w:rPr>
          <w:rFonts w:asciiTheme="majorHAnsi" w:eastAsiaTheme="majorEastAsia" w:hAnsiTheme="majorHAnsi" w:cstheme="majorBidi"/>
          <w:b/>
          <w:bCs/>
          <w:color w:val="365F91" w:themeColor="accent1" w:themeShade="BF"/>
          <w:sz w:val="28"/>
          <w:szCs w:val="28"/>
          <w:highlight w:val="yellow"/>
          <w:lang w:val="hr-HR"/>
        </w:rPr>
        <w:br w:type="page"/>
      </w:r>
    </w:p>
    <w:p w14:paraId="1783B589" w14:textId="77777777" w:rsidR="00EC1BD1" w:rsidRPr="00786F1B" w:rsidRDefault="0004031F" w:rsidP="0004031F">
      <w:pPr>
        <w:pStyle w:val="Heading1"/>
        <w:numPr>
          <w:ilvl w:val="0"/>
          <w:numId w:val="1"/>
        </w:numPr>
        <w:spacing w:line="276" w:lineRule="auto"/>
        <w:jc w:val="both"/>
        <w:rPr>
          <w:lang w:val="hr-HR"/>
        </w:rPr>
      </w:pPr>
      <w:bookmarkStart w:id="34" w:name="_Toc10032432"/>
      <w:r w:rsidRPr="00786F1B">
        <w:rPr>
          <w:lang w:val="hr-HR"/>
        </w:rPr>
        <w:lastRenderedPageBreak/>
        <w:t xml:space="preserve">PROJEKCIJE KRETANJA </w:t>
      </w:r>
      <w:r w:rsidR="00D41804" w:rsidRPr="00786F1B">
        <w:rPr>
          <w:lang w:val="hr-HR"/>
        </w:rPr>
        <w:t>JAVNOG DUGA</w:t>
      </w:r>
      <w:r w:rsidR="002A2D31" w:rsidRPr="00786F1B">
        <w:rPr>
          <w:lang w:val="hr-HR"/>
        </w:rPr>
        <w:t xml:space="preserve"> </w:t>
      </w:r>
      <w:r w:rsidR="00D41804" w:rsidRPr="00786F1B">
        <w:rPr>
          <w:lang w:val="hr-HR"/>
        </w:rPr>
        <w:t>U RAZDOBLJU 201</w:t>
      </w:r>
      <w:r w:rsidR="00786F1B" w:rsidRPr="00786F1B">
        <w:rPr>
          <w:lang w:val="hr-HR"/>
        </w:rPr>
        <w:t>9</w:t>
      </w:r>
      <w:r w:rsidRPr="00786F1B">
        <w:rPr>
          <w:lang w:val="hr-HR"/>
        </w:rPr>
        <w:t>. - 20</w:t>
      </w:r>
      <w:r w:rsidR="00D41804" w:rsidRPr="00786F1B">
        <w:rPr>
          <w:lang w:val="hr-HR"/>
        </w:rPr>
        <w:t>2</w:t>
      </w:r>
      <w:r w:rsidR="00786F1B" w:rsidRPr="00786F1B">
        <w:rPr>
          <w:lang w:val="hr-HR"/>
        </w:rPr>
        <w:t>1</w:t>
      </w:r>
      <w:r w:rsidRPr="00786F1B">
        <w:rPr>
          <w:lang w:val="hr-HR"/>
        </w:rPr>
        <w:t>.</w:t>
      </w:r>
      <w:bookmarkEnd w:id="34"/>
    </w:p>
    <w:p w14:paraId="32D8126D" w14:textId="77777777" w:rsidR="00310223" w:rsidRPr="00F23253" w:rsidRDefault="00310223" w:rsidP="00F23253">
      <w:pPr>
        <w:pStyle w:val="Caption"/>
        <w:spacing w:before="240" w:line="276" w:lineRule="auto"/>
        <w:rPr>
          <w:bCs w:val="0"/>
          <w:sz w:val="24"/>
          <w:lang w:val="hr-HR"/>
        </w:rPr>
      </w:pPr>
    </w:p>
    <w:p w14:paraId="2647A848" w14:textId="77777777" w:rsidR="006312ED" w:rsidRDefault="003E1EBC" w:rsidP="004767F1">
      <w:pPr>
        <w:spacing w:before="240" w:line="276" w:lineRule="auto"/>
        <w:jc w:val="both"/>
        <w:rPr>
          <w:sz w:val="24"/>
          <w:lang w:val="hr-HR"/>
        </w:rPr>
      </w:pPr>
      <w:r w:rsidRPr="003E1EBC">
        <w:rPr>
          <w:sz w:val="24"/>
          <w:lang w:val="hr-HR"/>
        </w:rPr>
        <w:t>Makroekonomska stabilnost i održivost javnih financija</w:t>
      </w:r>
      <w:r w:rsidR="008A03FF">
        <w:rPr>
          <w:sz w:val="24"/>
          <w:lang w:val="hr-HR"/>
        </w:rPr>
        <w:t xml:space="preserve">, uz visoko-kvalitetne investicije i učinkovite strukturne reforme, predstavljaju jedan od ključnih prioriteta Vlade RH u narednom srednjoročnom razdoblju. Time će se stvoriti preduvjeti za snažniji i trajniji ekonomski rast i realnu konvergenciju prema zemljama eurozone, a ujedno i </w:t>
      </w:r>
      <w:r w:rsidR="008A03FF" w:rsidRPr="008A03FF">
        <w:rPr>
          <w:sz w:val="24"/>
          <w:lang w:val="hr-HR"/>
        </w:rPr>
        <w:t>doprinijeti uspješnom ispunjenju preduvjeta za ulazak u ERM II mehanizam te potom i uvođenj</w:t>
      </w:r>
      <w:r w:rsidR="008A03FF">
        <w:rPr>
          <w:sz w:val="24"/>
          <w:lang w:val="hr-HR"/>
        </w:rPr>
        <w:t>u</w:t>
      </w:r>
      <w:r w:rsidR="008A03FF" w:rsidRPr="008A03FF">
        <w:rPr>
          <w:sz w:val="24"/>
          <w:lang w:val="hr-HR"/>
        </w:rPr>
        <w:t xml:space="preserve"> eura kao nacionalne valute, što je također jedan od ključnih strateških ciljeva Vlade RH.</w:t>
      </w:r>
    </w:p>
    <w:p w14:paraId="260F8CFA" w14:textId="77777777" w:rsidR="00B2023A" w:rsidRDefault="008A03FF" w:rsidP="004767F1">
      <w:pPr>
        <w:spacing w:before="240" w:line="276" w:lineRule="auto"/>
        <w:jc w:val="both"/>
        <w:rPr>
          <w:sz w:val="24"/>
          <w:lang w:val="hr-HR"/>
        </w:rPr>
      </w:pPr>
      <w:r>
        <w:rPr>
          <w:sz w:val="24"/>
          <w:lang w:val="hr-HR"/>
        </w:rPr>
        <w:t>Prema projekcijama iz Programa konvergencije za razdoblje 2019. –</w:t>
      </w:r>
      <w:r w:rsidR="001740A5">
        <w:rPr>
          <w:sz w:val="24"/>
          <w:lang w:val="hr-HR"/>
        </w:rPr>
        <w:t xml:space="preserve"> 2022</w:t>
      </w:r>
      <w:r>
        <w:rPr>
          <w:sz w:val="24"/>
          <w:lang w:val="hr-HR"/>
        </w:rPr>
        <w:t>.</w:t>
      </w:r>
      <w:r w:rsidR="001740A5">
        <w:rPr>
          <w:sz w:val="24"/>
          <w:lang w:val="hr-HR"/>
        </w:rPr>
        <w:t xml:space="preserve">, fiskalna kretanja kako na prihodnoj, tako i na rashodnoj strani proračuna, </w:t>
      </w:r>
      <w:r w:rsidR="001740A5" w:rsidRPr="001740A5">
        <w:rPr>
          <w:sz w:val="24"/>
          <w:lang w:val="hr-HR"/>
        </w:rPr>
        <w:t xml:space="preserve">rezultirat će blagim manjkom općeg proračuna prema metodologiji ESA 2010 u iznosu od 0,3% BDP-a u 2019. godini. U 2020. ponovno se predviđa višak od 0,2% BDP-a, dok će pozitivan fiskalni saldo u 2021. iznositi 0,4% BDP-a. </w:t>
      </w:r>
      <w:r w:rsidR="00783620">
        <w:rPr>
          <w:sz w:val="24"/>
          <w:lang w:val="hr-HR"/>
        </w:rPr>
        <w:t xml:space="preserve">Najveći doprinos ovakvom kretanju proračunskog salda dat će </w:t>
      </w:r>
      <w:r w:rsidR="00783620" w:rsidRPr="00783620">
        <w:rPr>
          <w:sz w:val="24"/>
          <w:lang w:val="hr-HR"/>
        </w:rPr>
        <w:t>državni proračun koji će svoj manjak smanjiti od 1,1% BDP-a u 201</w:t>
      </w:r>
      <w:r w:rsidR="00783620">
        <w:rPr>
          <w:sz w:val="24"/>
          <w:lang w:val="hr-HR"/>
        </w:rPr>
        <w:t>9</w:t>
      </w:r>
      <w:r w:rsidR="00783620" w:rsidRPr="00783620">
        <w:rPr>
          <w:sz w:val="24"/>
          <w:lang w:val="hr-HR"/>
        </w:rPr>
        <w:t xml:space="preserve">. na </w:t>
      </w:r>
      <w:r w:rsidR="00783620">
        <w:rPr>
          <w:sz w:val="24"/>
          <w:lang w:val="hr-HR"/>
        </w:rPr>
        <w:t>0,3</w:t>
      </w:r>
      <w:r w:rsidR="00783620" w:rsidRPr="00783620">
        <w:rPr>
          <w:sz w:val="24"/>
          <w:lang w:val="hr-HR"/>
        </w:rPr>
        <w:t>% BDP-a u 20</w:t>
      </w:r>
      <w:r w:rsidR="00783620">
        <w:rPr>
          <w:sz w:val="24"/>
          <w:lang w:val="hr-HR"/>
        </w:rPr>
        <w:t>20</w:t>
      </w:r>
      <w:r w:rsidR="00783620" w:rsidRPr="00783620">
        <w:rPr>
          <w:sz w:val="24"/>
          <w:lang w:val="hr-HR"/>
        </w:rPr>
        <w:t xml:space="preserve">. </w:t>
      </w:r>
      <w:r w:rsidR="00783620">
        <w:rPr>
          <w:sz w:val="24"/>
          <w:lang w:val="hr-HR"/>
        </w:rPr>
        <w:t>dok će u 2021. godini imati uravnotežen proračun</w:t>
      </w:r>
      <w:r w:rsidR="00783620" w:rsidRPr="00783620">
        <w:rPr>
          <w:sz w:val="24"/>
          <w:lang w:val="hr-HR"/>
        </w:rPr>
        <w:t>. Višak prihoda nad rashodima izvanproračunskih korisnika državnog proračuna u prosjeku će iznositi 0,2</w:t>
      </w:r>
      <w:r w:rsidR="00783620">
        <w:rPr>
          <w:sz w:val="24"/>
          <w:lang w:val="hr-HR"/>
        </w:rPr>
        <w:t>%</w:t>
      </w:r>
      <w:r w:rsidR="00783620" w:rsidRPr="00783620">
        <w:rPr>
          <w:sz w:val="24"/>
          <w:lang w:val="hr-HR"/>
        </w:rPr>
        <w:t xml:space="preserve"> BDP-a dok će jedinice lokalne</w:t>
      </w:r>
      <w:r w:rsidR="00783620">
        <w:rPr>
          <w:sz w:val="24"/>
          <w:lang w:val="hr-HR"/>
        </w:rPr>
        <w:t xml:space="preserve"> i područne (regionalne) samouprave imati manjak od 0,1% BDP-a.</w:t>
      </w:r>
      <w:r w:rsidR="00783620" w:rsidRPr="00783620">
        <w:rPr>
          <w:sz w:val="24"/>
          <w:lang w:val="hr-HR"/>
        </w:rPr>
        <w:t xml:space="preserve"> </w:t>
      </w:r>
      <w:r w:rsidR="00783620">
        <w:rPr>
          <w:sz w:val="24"/>
          <w:lang w:val="hr-HR"/>
        </w:rPr>
        <w:t xml:space="preserve">Trgovačka društva </w:t>
      </w:r>
      <w:r w:rsidR="00D4115D">
        <w:rPr>
          <w:sz w:val="24"/>
          <w:lang w:val="hr-HR"/>
        </w:rPr>
        <w:t xml:space="preserve">i druge pravne osobe </w:t>
      </w:r>
      <w:r w:rsidR="00783620">
        <w:rPr>
          <w:sz w:val="24"/>
          <w:lang w:val="hr-HR"/>
        </w:rPr>
        <w:t xml:space="preserve">u vlasništvu države, </w:t>
      </w:r>
      <w:r w:rsidR="00783620" w:rsidRPr="00783620">
        <w:rPr>
          <w:sz w:val="24"/>
          <w:lang w:val="hr-HR"/>
        </w:rPr>
        <w:t>koja s</w:t>
      </w:r>
      <w:r w:rsidR="00D4115D">
        <w:rPr>
          <w:sz w:val="24"/>
          <w:lang w:val="hr-HR"/>
        </w:rPr>
        <w:t>e</w:t>
      </w:r>
      <w:r w:rsidR="00783620" w:rsidRPr="00783620">
        <w:rPr>
          <w:sz w:val="24"/>
          <w:lang w:val="hr-HR"/>
        </w:rPr>
        <w:t xml:space="preserve"> prema metodologiji ESA 2010 </w:t>
      </w:r>
      <w:r w:rsidR="00D4115D">
        <w:rPr>
          <w:sz w:val="24"/>
          <w:lang w:val="hr-HR"/>
        </w:rPr>
        <w:t>uključuju u izračun proračunskog salda</w:t>
      </w:r>
      <w:r w:rsidR="00783620" w:rsidRPr="00783620">
        <w:rPr>
          <w:sz w:val="24"/>
          <w:lang w:val="hr-HR"/>
        </w:rPr>
        <w:t xml:space="preserve">, u </w:t>
      </w:r>
      <w:r w:rsidR="00783620">
        <w:rPr>
          <w:sz w:val="24"/>
          <w:lang w:val="hr-HR"/>
        </w:rPr>
        <w:t>projekcijom razdoblju</w:t>
      </w:r>
      <w:r w:rsidR="00783620" w:rsidRPr="00783620">
        <w:rPr>
          <w:sz w:val="24"/>
          <w:lang w:val="hr-HR"/>
        </w:rPr>
        <w:t xml:space="preserve"> bilježit će višak od </w:t>
      </w:r>
      <w:r w:rsidR="00783620">
        <w:rPr>
          <w:sz w:val="24"/>
          <w:lang w:val="hr-HR"/>
        </w:rPr>
        <w:t xml:space="preserve">prosječnih </w:t>
      </w:r>
      <w:r w:rsidR="00783620" w:rsidRPr="00783620">
        <w:rPr>
          <w:sz w:val="24"/>
          <w:lang w:val="hr-HR"/>
        </w:rPr>
        <w:t>0,2% BDP-a.</w:t>
      </w:r>
      <w:r w:rsidR="00D4115D">
        <w:rPr>
          <w:sz w:val="24"/>
          <w:lang w:val="hr-HR"/>
        </w:rPr>
        <w:t xml:space="preserve"> Nadalje, pl</w:t>
      </w:r>
      <w:r w:rsidR="001740A5" w:rsidRPr="001740A5">
        <w:rPr>
          <w:sz w:val="24"/>
          <w:lang w:val="hr-HR"/>
        </w:rPr>
        <w:t xml:space="preserve">anira se i daljnje smanjenje udjela javnog duga u BDP-u i to </w:t>
      </w:r>
      <w:r w:rsidR="00D4115D">
        <w:rPr>
          <w:sz w:val="24"/>
          <w:lang w:val="hr-HR"/>
        </w:rPr>
        <w:t xml:space="preserve">za više od 9 postotnih bodova </w:t>
      </w:r>
      <w:r w:rsidR="001740A5" w:rsidRPr="001740A5">
        <w:rPr>
          <w:sz w:val="24"/>
          <w:lang w:val="hr-HR"/>
        </w:rPr>
        <w:t>do 202</w:t>
      </w:r>
      <w:r w:rsidR="00D4115D">
        <w:rPr>
          <w:sz w:val="24"/>
          <w:lang w:val="hr-HR"/>
        </w:rPr>
        <w:t>1</w:t>
      </w:r>
      <w:r w:rsidR="001740A5" w:rsidRPr="001740A5">
        <w:rPr>
          <w:sz w:val="24"/>
          <w:lang w:val="hr-HR"/>
        </w:rPr>
        <w:t xml:space="preserve">. godine. </w:t>
      </w:r>
      <w:r w:rsidR="00D4115D">
        <w:rPr>
          <w:sz w:val="24"/>
          <w:lang w:val="hr-HR"/>
        </w:rPr>
        <w:t xml:space="preserve">Tako će u 2019. </w:t>
      </w:r>
      <w:r w:rsidR="00BB280B">
        <w:rPr>
          <w:sz w:val="24"/>
          <w:lang w:val="hr-HR"/>
        </w:rPr>
        <w:t xml:space="preserve">javni dug </w:t>
      </w:r>
      <w:r w:rsidR="00D4115D">
        <w:rPr>
          <w:sz w:val="24"/>
          <w:lang w:val="hr-HR"/>
        </w:rPr>
        <w:t xml:space="preserve">iznositi 71,6% BDP-a, u 2020. 68,5% BDP-a, a u 2021. godini 65,4% BDP-a. </w:t>
      </w:r>
    </w:p>
    <w:p w14:paraId="3DA01CDA" w14:textId="77777777" w:rsidR="001740A5" w:rsidRDefault="00B2023A" w:rsidP="004767F1">
      <w:pPr>
        <w:spacing w:before="240" w:line="276" w:lineRule="auto"/>
        <w:jc w:val="both"/>
        <w:rPr>
          <w:sz w:val="24"/>
          <w:lang w:val="hr-HR"/>
        </w:rPr>
      </w:pPr>
      <w:r>
        <w:rPr>
          <w:sz w:val="24"/>
          <w:lang w:val="hr-HR"/>
        </w:rPr>
        <w:t>Ovakve</w:t>
      </w:r>
      <w:r w:rsidR="00D4115D">
        <w:rPr>
          <w:sz w:val="24"/>
          <w:lang w:val="hr-HR"/>
        </w:rPr>
        <w:t xml:space="preserve"> </w:t>
      </w:r>
      <w:r w:rsidR="001740A5" w:rsidRPr="001740A5">
        <w:rPr>
          <w:sz w:val="24"/>
          <w:lang w:val="hr-HR"/>
        </w:rPr>
        <w:t>fiskalne projekcije ukazuju da RH ispunjava i novi, stroži srednjoročni proračunski cilj od -1% BDP-a u čitavom projekcijskom razdoblju</w:t>
      </w:r>
      <w:r>
        <w:rPr>
          <w:sz w:val="24"/>
          <w:lang w:val="hr-HR"/>
        </w:rPr>
        <w:t>, a koji je u skladu s restriktivnijim uvjetima koje moraju poštivati države članice tečajnog mehanizma ERM II</w:t>
      </w:r>
      <w:r w:rsidR="001740A5" w:rsidRPr="001740A5">
        <w:rPr>
          <w:sz w:val="24"/>
          <w:lang w:val="hr-HR"/>
        </w:rPr>
        <w:t>. Ovime se ujedno i ispunjavaju fiskalna pravila sukladno odredbama Preventivnog mehanizma Pakta o stabilnosti i rastu, kao i odredbama Zakona o fiskalnoj odgovornosti, a čime se osigurava održivo kretanje manjka proračuna opće države i javnog duga.</w:t>
      </w:r>
    </w:p>
    <w:p w14:paraId="427F9C5B" w14:textId="77777777" w:rsidR="000F70B8" w:rsidRDefault="000F70B8" w:rsidP="004767F1">
      <w:pPr>
        <w:spacing w:before="240" w:line="276" w:lineRule="auto"/>
        <w:jc w:val="both"/>
        <w:rPr>
          <w:sz w:val="24"/>
          <w:lang w:val="hr-HR"/>
        </w:rPr>
      </w:pPr>
    </w:p>
    <w:p w14:paraId="349E1BA3" w14:textId="77777777" w:rsidR="000F70B8" w:rsidRDefault="000F70B8" w:rsidP="004767F1">
      <w:pPr>
        <w:spacing w:before="240" w:line="276" w:lineRule="auto"/>
        <w:jc w:val="both"/>
        <w:rPr>
          <w:sz w:val="24"/>
          <w:lang w:val="hr-HR"/>
        </w:rPr>
      </w:pPr>
    </w:p>
    <w:p w14:paraId="3097081E" w14:textId="77777777" w:rsidR="000F70B8" w:rsidRDefault="000F70B8" w:rsidP="004767F1">
      <w:pPr>
        <w:spacing w:before="240" w:line="276" w:lineRule="auto"/>
        <w:jc w:val="both"/>
        <w:rPr>
          <w:sz w:val="24"/>
          <w:lang w:val="hr-HR"/>
        </w:rPr>
      </w:pPr>
    </w:p>
    <w:p w14:paraId="2D1F40D0" w14:textId="77777777" w:rsidR="000F70B8" w:rsidRDefault="000F70B8" w:rsidP="004767F1">
      <w:pPr>
        <w:spacing w:before="240" w:line="276" w:lineRule="auto"/>
        <w:jc w:val="both"/>
        <w:rPr>
          <w:sz w:val="24"/>
          <w:lang w:val="hr-HR"/>
        </w:rPr>
      </w:pPr>
    </w:p>
    <w:p w14:paraId="23064434" w14:textId="77777777" w:rsidR="000F70B8" w:rsidRPr="003E1EBC" w:rsidRDefault="000F70B8" w:rsidP="004767F1">
      <w:pPr>
        <w:spacing w:before="240" w:line="276" w:lineRule="auto"/>
        <w:jc w:val="both"/>
        <w:rPr>
          <w:sz w:val="24"/>
          <w:lang w:val="hr-HR"/>
        </w:rPr>
      </w:pPr>
    </w:p>
    <w:p w14:paraId="42735429" w14:textId="77777777" w:rsidR="0004031F" w:rsidRPr="000F70B8" w:rsidRDefault="0004031F" w:rsidP="00F3455E">
      <w:pPr>
        <w:pStyle w:val="Caption"/>
        <w:spacing w:before="240"/>
        <w:rPr>
          <w:i/>
          <w:sz w:val="24"/>
          <w:lang w:val="hr-HR"/>
        </w:rPr>
      </w:pPr>
      <w:bookmarkStart w:id="35" w:name="_Toc10032450"/>
      <w:r w:rsidRPr="000F70B8">
        <w:rPr>
          <w:i/>
          <w:sz w:val="24"/>
          <w:lang w:val="hr-HR"/>
        </w:rPr>
        <w:lastRenderedPageBreak/>
        <w:t xml:space="preserve">Tablica </w:t>
      </w:r>
      <w:r w:rsidRPr="000F70B8">
        <w:rPr>
          <w:i/>
          <w:sz w:val="24"/>
          <w:lang w:val="hr-HR"/>
        </w:rPr>
        <w:fldChar w:fldCharType="begin"/>
      </w:r>
      <w:r w:rsidRPr="000F70B8">
        <w:rPr>
          <w:i/>
          <w:sz w:val="24"/>
          <w:lang w:val="hr-HR"/>
        </w:rPr>
        <w:instrText xml:space="preserve"> SEQ Tablica \* ARABIC </w:instrText>
      </w:r>
      <w:r w:rsidRPr="000F70B8">
        <w:rPr>
          <w:i/>
          <w:sz w:val="24"/>
          <w:lang w:val="hr-HR"/>
        </w:rPr>
        <w:fldChar w:fldCharType="separate"/>
      </w:r>
      <w:r w:rsidR="00CE0BC8">
        <w:rPr>
          <w:i/>
          <w:noProof/>
          <w:sz w:val="24"/>
          <w:lang w:val="hr-HR"/>
        </w:rPr>
        <w:t>6</w:t>
      </w:r>
      <w:r w:rsidRPr="000F70B8">
        <w:rPr>
          <w:i/>
          <w:sz w:val="24"/>
          <w:lang w:val="hr-HR"/>
        </w:rPr>
        <w:fldChar w:fldCharType="end"/>
      </w:r>
      <w:r w:rsidRPr="000F70B8">
        <w:rPr>
          <w:i/>
          <w:sz w:val="24"/>
          <w:lang w:val="hr-HR"/>
        </w:rPr>
        <w:t>: Procjena ukupnog manjka/viška opće države, ESA 2010 metodologija</w:t>
      </w:r>
      <w:bookmarkEnd w:id="35"/>
    </w:p>
    <w:p w14:paraId="5D70777E" w14:textId="77777777" w:rsidR="00B80405" w:rsidRPr="00025326" w:rsidRDefault="00B1731D" w:rsidP="00F3455E">
      <w:pPr>
        <w:pStyle w:val="Caption"/>
        <w:spacing w:line="276" w:lineRule="auto"/>
        <w:rPr>
          <w:b w:val="0"/>
          <w:bCs w:val="0"/>
          <w:color w:val="auto"/>
          <w:sz w:val="24"/>
          <w:highlight w:val="yellow"/>
          <w:lang w:val="hr-HR"/>
        </w:rPr>
      </w:pPr>
      <w:r w:rsidRPr="00B1731D">
        <w:rPr>
          <w:noProof/>
          <w:lang w:val="hr-HR" w:eastAsia="hr-HR"/>
        </w:rPr>
        <w:drawing>
          <wp:inline distT="0" distB="0" distL="0" distR="0" wp14:anchorId="7D297362" wp14:editId="3A3C6C04">
            <wp:extent cx="5759450" cy="37016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3701672"/>
                    </a:xfrm>
                    <a:prstGeom prst="rect">
                      <a:avLst/>
                    </a:prstGeom>
                    <a:noFill/>
                    <a:ln>
                      <a:noFill/>
                    </a:ln>
                  </pic:spPr>
                </pic:pic>
              </a:graphicData>
            </a:graphic>
          </wp:inline>
        </w:drawing>
      </w:r>
    </w:p>
    <w:p w14:paraId="3EA50B5E" w14:textId="77777777" w:rsidR="00B80405" w:rsidRPr="000F70B8" w:rsidRDefault="00D732E2" w:rsidP="00B80405">
      <w:pPr>
        <w:rPr>
          <w:i/>
          <w:sz w:val="20"/>
          <w:szCs w:val="20"/>
          <w:lang w:val="hr-HR"/>
        </w:rPr>
      </w:pPr>
      <w:r w:rsidRPr="000F70B8">
        <w:rPr>
          <w:i/>
          <w:sz w:val="20"/>
          <w:szCs w:val="20"/>
          <w:lang w:val="hr-HR"/>
        </w:rPr>
        <w:t>Izvor: Ministarstvo financija</w:t>
      </w:r>
    </w:p>
    <w:p w14:paraId="5CB1F2E2" w14:textId="77777777" w:rsidR="0004031F" w:rsidRPr="000A610C" w:rsidRDefault="0004031F" w:rsidP="00ED22D0">
      <w:pPr>
        <w:pStyle w:val="Caption"/>
        <w:spacing w:before="240" w:line="276" w:lineRule="auto"/>
        <w:rPr>
          <w:bCs w:val="0"/>
          <w:i/>
          <w:sz w:val="24"/>
          <w:lang w:val="hr-HR"/>
        </w:rPr>
      </w:pPr>
      <w:bookmarkStart w:id="36" w:name="_Toc10032469"/>
      <w:r w:rsidRPr="000A610C">
        <w:rPr>
          <w:bCs w:val="0"/>
          <w:i/>
          <w:sz w:val="24"/>
          <w:lang w:val="hr-HR"/>
        </w:rPr>
        <w:t xml:space="preserve">Grafikon </w:t>
      </w:r>
      <w:r w:rsidRPr="000A610C">
        <w:rPr>
          <w:bCs w:val="0"/>
          <w:i/>
          <w:sz w:val="24"/>
          <w:lang w:val="hr-HR"/>
        </w:rPr>
        <w:fldChar w:fldCharType="begin"/>
      </w:r>
      <w:r w:rsidRPr="000A610C">
        <w:rPr>
          <w:bCs w:val="0"/>
          <w:i/>
          <w:sz w:val="24"/>
          <w:lang w:val="hr-HR"/>
        </w:rPr>
        <w:instrText xml:space="preserve"> SEQ Grafikon \* ARABIC </w:instrText>
      </w:r>
      <w:r w:rsidRPr="000A610C">
        <w:rPr>
          <w:bCs w:val="0"/>
          <w:i/>
          <w:sz w:val="24"/>
          <w:lang w:val="hr-HR"/>
        </w:rPr>
        <w:fldChar w:fldCharType="separate"/>
      </w:r>
      <w:r w:rsidR="00CE0BC8">
        <w:rPr>
          <w:bCs w:val="0"/>
          <w:i/>
          <w:noProof/>
          <w:sz w:val="24"/>
          <w:lang w:val="hr-HR"/>
        </w:rPr>
        <w:t>11</w:t>
      </w:r>
      <w:r w:rsidRPr="000A610C">
        <w:rPr>
          <w:bCs w:val="0"/>
          <w:i/>
          <w:sz w:val="24"/>
          <w:lang w:val="hr-HR"/>
        </w:rPr>
        <w:fldChar w:fldCharType="end"/>
      </w:r>
      <w:r w:rsidRPr="000A610C">
        <w:rPr>
          <w:bCs w:val="0"/>
          <w:i/>
          <w:sz w:val="24"/>
          <w:lang w:val="hr-HR"/>
        </w:rPr>
        <w:t>: Kretanje javnog duga 201</w:t>
      </w:r>
      <w:r w:rsidR="000A610C" w:rsidRPr="000A610C">
        <w:rPr>
          <w:bCs w:val="0"/>
          <w:i/>
          <w:sz w:val="24"/>
          <w:lang w:val="hr-HR"/>
        </w:rPr>
        <w:t>5</w:t>
      </w:r>
      <w:r w:rsidRPr="000A610C">
        <w:rPr>
          <w:bCs w:val="0"/>
          <w:i/>
          <w:sz w:val="24"/>
          <w:lang w:val="hr-HR"/>
        </w:rPr>
        <w:t>. - 20</w:t>
      </w:r>
      <w:r w:rsidR="00CD0B8F" w:rsidRPr="000A610C">
        <w:rPr>
          <w:bCs w:val="0"/>
          <w:i/>
          <w:sz w:val="24"/>
          <w:lang w:val="hr-HR"/>
        </w:rPr>
        <w:t>2</w:t>
      </w:r>
      <w:r w:rsidR="000A610C" w:rsidRPr="000A610C">
        <w:rPr>
          <w:bCs w:val="0"/>
          <w:i/>
          <w:sz w:val="24"/>
          <w:lang w:val="hr-HR"/>
        </w:rPr>
        <w:t>1</w:t>
      </w:r>
      <w:r w:rsidRPr="000A610C">
        <w:rPr>
          <w:bCs w:val="0"/>
          <w:i/>
          <w:sz w:val="24"/>
          <w:lang w:val="hr-HR"/>
        </w:rPr>
        <w:t>.</w:t>
      </w:r>
      <w:bookmarkEnd w:id="36"/>
    </w:p>
    <w:p w14:paraId="31BFAADC" w14:textId="77777777" w:rsidR="00CD0B8F" w:rsidRPr="000A610C" w:rsidRDefault="006E3CE2" w:rsidP="00342ACF">
      <w:pPr>
        <w:spacing w:line="276" w:lineRule="auto"/>
        <w:rPr>
          <w:i/>
          <w:sz w:val="20"/>
          <w:lang w:val="hr-HR"/>
        </w:rPr>
      </w:pPr>
      <w:r w:rsidRPr="006E3CE2">
        <w:rPr>
          <w:noProof/>
          <w:lang w:val="hr-HR" w:eastAsia="hr-HR"/>
        </w:rPr>
        <w:drawing>
          <wp:inline distT="0" distB="0" distL="0" distR="0" wp14:anchorId="3B08A135" wp14:editId="551D3A3B">
            <wp:extent cx="5759450" cy="284258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9450" cy="2842582"/>
                    </a:xfrm>
                    <a:prstGeom prst="rect">
                      <a:avLst/>
                    </a:prstGeom>
                    <a:noFill/>
                    <a:ln>
                      <a:noFill/>
                    </a:ln>
                  </pic:spPr>
                </pic:pic>
              </a:graphicData>
            </a:graphic>
          </wp:inline>
        </w:drawing>
      </w:r>
    </w:p>
    <w:p w14:paraId="210A7CD6" w14:textId="77777777" w:rsidR="009A6DB6" w:rsidRPr="000A610C" w:rsidRDefault="0004031F" w:rsidP="00CD7A6E">
      <w:pPr>
        <w:spacing w:line="276" w:lineRule="auto"/>
        <w:rPr>
          <w:i/>
          <w:sz w:val="20"/>
          <w:lang w:val="hr-HR"/>
        </w:rPr>
        <w:sectPr w:rsidR="009A6DB6" w:rsidRPr="000A610C" w:rsidSect="00823B16">
          <w:pgSz w:w="11906" w:h="16838"/>
          <w:pgMar w:top="1418" w:right="1418" w:bottom="1418" w:left="1418" w:header="709" w:footer="709" w:gutter="0"/>
          <w:cols w:space="708"/>
          <w:docGrid w:linePitch="360"/>
        </w:sectPr>
      </w:pPr>
      <w:r w:rsidRPr="000A610C">
        <w:rPr>
          <w:i/>
          <w:sz w:val="20"/>
          <w:lang w:val="hr-HR"/>
        </w:rPr>
        <w:t>Izvor: HNB, Ministarstvo financija</w:t>
      </w:r>
    </w:p>
    <w:p w14:paraId="2A63D916" w14:textId="77777777" w:rsidR="00BA66D2" w:rsidRPr="006A2CA3" w:rsidRDefault="004D338A" w:rsidP="004D338A">
      <w:pPr>
        <w:pStyle w:val="Heading1"/>
        <w:numPr>
          <w:ilvl w:val="0"/>
          <w:numId w:val="1"/>
        </w:numPr>
        <w:spacing w:line="276" w:lineRule="auto"/>
        <w:jc w:val="both"/>
        <w:rPr>
          <w:lang w:val="hr-HR"/>
        </w:rPr>
      </w:pPr>
      <w:bookmarkStart w:id="37" w:name="_Toc10032433"/>
      <w:r w:rsidRPr="006A2CA3">
        <w:rPr>
          <w:lang w:val="hr-HR"/>
        </w:rPr>
        <w:lastRenderedPageBreak/>
        <w:t>OSNOVNI CILJEVI I SMJERNICE UPRAVLJANJA JAVNIM DUGOM</w:t>
      </w:r>
      <w:r w:rsidR="009A19EB" w:rsidRPr="006A2CA3">
        <w:rPr>
          <w:lang w:val="hr-HR"/>
        </w:rPr>
        <w:t xml:space="preserve"> U RAZDOBLJU 201</w:t>
      </w:r>
      <w:r w:rsidR="006A2CA3" w:rsidRPr="006A2CA3">
        <w:rPr>
          <w:lang w:val="hr-HR"/>
        </w:rPr>
        <w:t>9</w:t>
      </w:r>
      <w:r w:rsidR="009A19EB" w:rsidRPr="006A2CA3">
        <w:rPr>
          <w:lang w:val="hr-HR"/>
        </w:rPr>
        <w:t>. – 202</w:t>
      </w:r>
      <w:r w:rsidR="006A2CA3" w:rsidRPr="006A2CA3">
        <w:rPr>
          <w:lang w:val="hr-HR"/>
        </w:rPr>
        <w:t>1</w:t>
      </w:r>
      <w:r w:rsidR="009A19EB" w:rsidRPr="006A2CA3">
        <w:rPr>
          <w:lang w:val="hr-HR"/>
        </w:rPr>
        <w:t>.</w:t>
      </w:r>
      <w:bookmarkEnd w:id="37"/>
    </w:p>
    <w:p w14:paraId="538BF56F" w14:textId="77777777" w:rsidR="00BA66D2" w:rsidRPr="006A2CA3" w:rsidRDefault="00BA66D2" w:rsidP="00BA66D2">
      <w:pPr>
        <w:pStyle w:val="Caption"/>
        <w:spacing w:before="240" w:line="276" w:lineRule="auto"/>
        <w:rPr>
          <w:bCs w:val="0"/>
          <w:sz w:val="24"/>
          <w:lang w:val="hr-HR"/>
        </w:rPr>
      </w:pPr>
    </w:p>
    <w:p w14:paraId="3B53985D" w14:textId="77777777" w:rsidR="00C0693D" w:rsidRPr="000D708C" w:rsidRDefault="00BC0D6C" w:rsidP="00C0693D">
      <w:pPr>
        <w:spacing w:before="240" w:line="276" w:lineRule="auto"/>
        <w:jc w:val="both"/>
        <w:rPr>
          <w:sz w:val="24"/>
          <w:lang w:val="hr-HR"/>
        </w:rPr>
      </w:pPr>
      <w:r w:rsidRPr="000D708C">
        <w:rPr>
          <w:sz w:val="24"/>
          <w:lang w:val="hr-HR"/>
        </w:rPr>
        <w:t xml:space="preserve">Postojeće makroekonomske projekcije, u kratkom roku sugeriraju ublažavanje rizika refinanciranja te </w:t>
      </w:r>
      <w:r w:rsidR="00AC5785" w:rsidRPr="000D708C">
        <w:rPr>
          <w:sz w:val="24"/>
          <w:lang w:val="hr-HR"/>
        </w:rPr>
        <w:t>nastavak trenda</w:t>
      </w:r>
      <w:r w:rsidRPr="000D708C">
        <w:rPr>
          <w:sz w:val="24"/>
          <w:lang w:val="hr-HR"/>
        </w:rPr>
        <w:t xml:space="preserve"> </w:t>
      </w:r>
      <w:r w:rsidR="00AC5785" w:rsidRPr="000D708C">
        <w:rPr>
          <w:sz w:val="24"/>
          <w:lang w:val="hr-HR"/>
        </w:rPr>
        <w:t>međugodišnjeg smanjenja</w:t>
      </w:r>
      <w:r w:rsidRPr="000D708C">
        <w:rPr>
          <w:sz w:val="24"/>
          <w:lang w:val="hr-HR"/>
        </w:rPr>
        <w:t xml:space="preserve"> udjela javnog duga u BDP-u. </w:t>
      </w:r>
      <w:r w:rsidR="00D70FAD" w:rsidRPr="000D708C">
        <w:rPr>
          <w:sz w:val="24"/>
          <w:lang w:val="hr-HR"/>
        </w:rPr>
        <w:t>Iako je javni dug smanjen na 7</w:t>
      </w:r>
      <w:r w:rsidR="000D708C" w:rsidRPr="000D708C">
        <w:rPr>
          <w:sz w:val="24"/>
          <w:lang w:val="hr-HR"/>
        </w:rPr>
        <w:t>4,6</w:t>
      </w:r>
      <w:r w:rsidR="00D70FAD" w:rsidRPr="000D708C">
        <w:rPr>
          <w:sz w:val="24"/>
          <w:lang w:val="hr-HR"/>
        </w:rPr>
        <w:t>% BDP-a u 201</w:t>
      </w:r>
      <w:r w:rsidR="000D708C" w:rsidRPr="000D708C">
        <w:rPr>
          <w:sz w:val="24"/>
          <w:lang w:val="hr-HR"/>
        </w:rPr>
        <w:t>8</w:t>
      </w:r>
      <w:r w:rsidR="00D70FAD" w:rsidRPr="000D708C">
        <w:rPr>
          <w:sz w:val="24"/>
          <w:lang w:val="hr-HR"/>
        </w:rPr>
        <w:t xml:space="preserve">. godini, njegova </w:t>
      </w:r>
      <w:r w:rsidR="000D708C">
        <w:rPr>
          <w:sz w:val="24"/>
          <w:lang w:val="hr-HR"/>
        </w:rPr>
        <w:t xml:space="preserve">i dalje </w:t>
      </w:r>
      <w:r w:rsidR="00D70FAD" w:rsidRPr="000D708C">
        <w:rPr>
          <w:sz w:val="24"/>
          <w:lang w:val="hr-HR"/>
        </w:rPr>
        <w:t xml:space="preserve">visoka razina </w:t>
      </w:r>
      <w:r w:rsidRPr="000D708C">
        <w:rPr>
          <w:sz w:val="24"/>
          <w:lang w:val="hr-HR"/>
        </w:rPr>
        <w:t xml:space="preserve">zahtjeva sveobuhvatnu </w:t>
      </w:r>
      <w:r w:rsidR="00D70FAD" w:rsidRPr="000D708C">
        <w:rPr>
          <w:sz w:val="24"/>
          <w:lang w:val="hr-HR"/>
        </w:rPr>
        <w:t>ekonomsku politiku</w:t>
      </w:r>
      <w:r w:rsidRPr="000D708C">
        <w:rPr>
          <w:sz w:val="24"/>
          <w:lang w:val="hr-HR"/>
        </w:rPr>
        <w:t xml:space="preserve"> usmjerenu ka poticanju gospodarskog rasta, daljnju fiskalnu konsolidaciju te aktivaciju državne imovine praćen</w:t>
      </w:r>
      <w:r w:rsidR="000D708C">
        <w:rPr>
          <w:sz w:val="24"/>
          <w:lang w:val="hr-HR"/>
        </w:rPr>
        <w:t>u</w:t>
      </w:r>
      <w:r w:rsidRPr="000D708C">
        <w:rPr>
          <w:sz w:val="24"/>
          <w:lang w:val="hr-HR"/>
        </w:rPr>
        <w:t xml:space="preserve"> aktivnom politikom upravljanja javnim dugom. </w:t>
      </w:r>
      <w:r w:rsidR="00AC5785" w:rsidRPr="000D708C">
        <w:rPr>
          <w:sz w:val="24"/>
          <w:lang w:val="hr-HR"/>
        </w:rPr>
        <w:t>Naime, javni dug je i dalje visok u usporedbi s razinama zabilježenim prije krize kao i s visinom duga u usporedivim zemljama.</w:t>
      </w:r>
      <w:r w:rsidR="00380F43" w:rsidRPr="000D708C">
        <w:rPr>
          <w:sz w:val="24"/>
          <w:lang w:val="hr-HR"/>
        </w:rPr>
        <w:t xml:space="preserve"> Iako su u srednjoročnom razdoblju</w:t>
      </w:r>
      <w:r w:rsidR="00131500" w:rsidRPr="000D708C">
        <w:rPr>
          <w:sz w:val="24"/>
          <w:lang w:val="hr-HR"/>
        </w:rPr>
        <w:t xml:space="preserve"> rizici smanjeni, oni su i dalje visoki osobito prema određenim scenarijima u testovima osjetljivosti.</w:t>
      </w:r>
      <w:r w:rsidR="00C0693D" w:rsidRPr="000D708C">
        <w:rPr>
          <w:sz w:val="24"/>
          <w:lang w:val="hr-HR"/>
        </w:rPr>
        <w:t xml:space="preserve"> </w:t>
      </w:r>
    </w:p>
    <w:p w14:paraId="1108F6FD" w14:textId="77777777" w:rsidR="00BC0D6C" w:rsidRPr="000D708C" w:rsidRDefault="00C0693D" w:rsidP="00C0693D">
      <w:pPr>
        <w:spacing w:before="240" w:line="276" w:lineRule="auto"/>
        <w:jc w:val="both"/>
        <w:rPr>
          <w:sz w:val="24"/>
          <w:lang w:val="hr-HR"/>
        </w:rPr>
      </w:pPr>
      <w:r w:rsidRPr="000D708C">
        <w:rPr>
          <w:color w:val="000000" w:themeColor="text1"/>
          <w:sz w:val="24"/>
          <w:lang w:val="hr-HR"/>
        </w:rPr>
        <w:t>U pogledu upravljanja javnim dugom, o</w:t>
      </w:r>
      <w:r w:rsidRPr="000D708C">
        <w:rPr>
          <w:sz w:val="24"/>
          <w:lang w:val="hr-HR"/>
        </w:rPr>
        <w:t xml:space="preserve">snovni cilj zaduživanja jest osiguranje financijskih potreba </w:t>
      </w:r>
      <w:r w:rsidRPr="005871AB">
        <w:rPr>
          <w:sz w:val="24"/>
          <w:lang w:val="hr-HR"/>
        </w:rPr>
        <w:t>državnog proračuna,</w:t>
      </w:r>
      <w:r w:rsidRPr="000D708C">
        <w:rPr>
          <w:sz w:val="24"/>
          <w:lang w:val="hr-HR"/>
        </w:rPr>
        <w:t xml:space="preserve"> postizanjem najnižeg srednjoročnog i dugoročnog troška financiranja uz preuzimanje razboritog stupnja rizika.</w:t>
      </w:r>
    </w:p>
    <w:p w14:paraId="1FF7FB2A" w14:textId="77777777" w:rsidR="00BC0D6C" w:rsidRPr="000D708C" w:rsidRDefault="00BC0D6C" w:rsidP="00BC0D6C">
      <w:pPr>
        <w:spacing w:before="240" w:line="276" w:lineRule="auto"/>
        <w:jc w:val="both"/>
        <w:rPr>
          <w:sz w:val="24"/>
          <w:lang w:val="hr-HR"/>
        </w:rPr>
      </w:pPr>
      <w:r w:rsidRPr="000D708C">
        <w:rPr>
          <w:sz w:val="24"/>
          <w:lang w:val="hr-HR"/>
        </w:rPr>
        <w:t xml:space="preserve">Radi ispunjavanja općeg cilja upravljanja dugom, </w:t>
      </w:r>
      <w:r w:rsidR="00131500" w:rsidRPr="000D708C">
        <w:rPr>
          <w:sz w:val="24"/>
          <w:lang w:val="hr-HR"/>
        </w:rPr>
        <w:t xml:space="preserve">i ovogodišnja </w:t>
      </w:r>
      <w:r w:rsidRPr="000D708C">
        <w:rPr>
          <w:sz w:val="24"/>
          <w:lang w:val="hr-HR"/>
        </w:rPr>
        <w:t xml:space="preserve">Strategija </w:t>
      </w:r>
      <w:r w:rsidRPr="000D708C">
        <w:rPr>
          <w:color w:val="000000" w:themeColor="text1"/>
          <w:sz w:val="24"/>
          <w:lang w:val="hr-HR"/>
        </w:rPr>
        <w:t>d</w:t>
      </w:r>
      <w:r w:rsidRPr="000D708C">
        <w:rPr>
          <w:sz w:val="24"/>
          <w:lang w:val="hr-HR"/>
        </w:rPr>
        <w:t>efinira, uz osnovni cilj, provedbene metode unapređenja održivosti ukupnog javnog duga i ublažavanja povezanih rizika. Uz detaljne prikaze povijesnog kretanja i strukture javnog duga, trogodišnjih projekcija i načela ostvarenja utvrđenih planova financiranja, Strategija identificira i provedbene rizike te načela njihovog ublažavanja, s naglaskom na:</w:t>
      </w:r>
    </w:p>
    <w:p w14:paraId="076B3707" w14:textId="77777777" w:rsidR="00BC0D6C" w:rsidRPr="000D708C" w:rsidRDefault="00BC0D6C" w:rsidP="00BC0D6C">
      <w:pPr>
        <w:numPr>
          <w:ilvl w:val="0"/>
          <w:numId w:val="25"/>
        </w:numPr>
        <w:spacing w:before="240" w:line="276" w:lineRule="auto"/>
        <w:contextualSpacing/>
        <w:jc w:val="both"/>
        <w:rPr>
          <w:sz w:val="24"/>
          <w:lang w:val="hr-HR"/>
        </w:rPr>
      </w:pPr>
      <w:r w:rsidRPr="000D708C">
        <w:rPr>
          <w:sz w:val="24"/>
          <w:lang w:val="hr-HR"/>
        </w:rPr>
        <w:t>jačanje pravnog i institucionalnog okvira upravljanja javnim dugom,</w:t>
      </w:r>
    </w:p>
    <w:p w14:paraId="372AC6EF" w14:textId="77777777" w:rsidR="00BC0D6C" w:rsidRPr="000D708C" w:rsidRDefault="00BC0D6C" w:rsidP="0087786D">
      <w:pPr>
        <w:numPr>
          <w:ilvl w:val="0"/>
          <w:numId w:val="25"/>
        </w:numPr>
        <w:spacing w:before="240" w:line="276" w:lineRule="auto"/>
        <w:contextualSpacing/>
        <w:jc w:val="both"/>
        <w:rPr>
          <w:sz w:val="24"/>
          <w:lang w:val="hr-HR"/>
        </w:rPr>
      </w:pPr>
      <w:r w:rsidRPr="000D708C">
        <w:rPr>
          <w:sz w:val="24"/>
          <w:lang w:val="hr-HR"/>
        </w:rPr>
        <w:t>ublažavanje rizika refinanciranja i smanjenja udjela kratkoročnog duga u ukupnom javnom dugu,</w:t>
      </w:r>
    </w:p>
    <w:p w14:paraId="7F1E8BEC" w14:textId="77777777" w:rsidR="00B3314F" w:rsidRPr="000D708C" w:rsidRDefault="00B3314F" w:rsidP="0087786D">
      <w:pPr>
        <w:numPr>
          <w:ilvl w:val="0"/>
          <w:numId w:val="25"/>
        </w:numPr>
        <w:spacing w:before="240" w:line="276" w:lineRule="auto"/>
        <w:contextualSpacing/>
        <w:jc w:val="both"/>
        <w:rPr>
          <w:sz w:val="24"/>
          <w:lang w:val="hr-HR"/>
        </w:rPr>
      </w:pPr>
      <w:r w:rsidRPr="000D708C">
        <w:rPr>
          <w:sz w:val="24"/>
          <w:lang w:val="hr-HR"/>
        </w:rPr>
        <w:t>ublažavanje valutnog rizika javnog duga,</w:t>
      </w:r>
    </w:p>
    <w:p w14:paraId="51EAD96A" w14:textId="77777777" w:rsidR="00BC0D6C" w:rsidRPr="000D708C" w:rsidRDefault="00BC0D6C" w:rsidP="00BC0D6C">
      <w:pPr>
        <w:numPr>
          <w:ilvl w:val="0"/>
          <w:numId w:val="25"/>
        </w:numPr>
        <w:spacing w:before="240" w:line="276" w:lineRule="auto"/>
        <w:contextualSpacing/>
        <w:jc w:val="both"/>
        <w:rPr>
          <w:sz w:val="24"/>
          <w:lang w:val="hr-HR"/>
        </w:rPr>
      </w:pPr>
      <w:r w:rsidRPr="000D708C">
        <w:rPr>
          <w:sz w:val="24"/>
          <w:lang w:val="hr-HR"/>
        </w:rPr>
        <w:t>ublažavanje kamatnog rizika javnog duga i</w:t>
      </w:r>
    </w:p>
    <w:p w14:paraId="39A39AF0" w14:textId="77777777" w:rsidR="00BC0D6C" w:rsidRPr="000D708C" w:rsidRDefault="00BC0D6C" w:rsidP="00BC0D6C">
      <w:pPr>
        <w:numPr>
          <w:ilvl w:val="0"/>
          <w:numId w:val="25"/>
        </w:numPr>
        <w:spacing w:before="240" w:line="276" w:lineRule="auto"/>
        <w:contextualSpacing/>
        <w:jc w:val="both"/>
        <w:rPr>
          <w:sz w:val="24"/>
          <w:lang w:val="hr-HR"/>
        </w:rPr>
      </w:pPr>
      <w:r w:rsidRPr="000D708C">
        <w:rPr>
          <w:sz w:val="24"/>
          <w:lang w:val="hr-HR"/>
        </w:rPr>
        <w:t>povećanje transparentnosti javnog duga i zaduživanja.</w:t>
      </w:r>
    </w:p>
    <w:p w14:paraId="547BC473" w14:textId="77777777" w:rsidR="004C2FF8" w:rsidRDefault="004C2FF8" w:rsidP="00905BC0">
      <w:pPr>
        <w:spacing w:before="240"/>
        <w:rPr>
          <w:lang w:val="hr-HR"/>
        </w:rPr>
      </w:pPr>
    </w:p>
    <w:p w14:paraId="2B2C52C2" w14:textId="77777777" w:rsidR="008B368B" w:rsidRDefault="008B368B" w:rsidP="00905BC0">
      <w:pPr>
        <w:spacing w:before="240"/>
        <w:rPr>
          <w:lang w:val="hr-HR"/>
        </w:rPr>
      </w:pPr>
    </w:p>
    <w:p w14:paraId="5E6FB44A" w14:textId="77777777" w:rsidR="008B368B" w:rsidRDefault="008B368B" w:rsidP="00905BC0">
      <w:pPr>
        <w:spacing w:before="240"/>
        <w:rPr>
          <w:lang w:val="hr-HR"/>
        </w:rPr>
      </w:pPr>
    </w:p>
    <w:p w14:paraId="7E647696" w14:textId="77777777" w:rsidR="008B368B" w:rsidRDefault="008B368B" w:rsidP="00905BC0">
      <w:pPr>
        <w:spacing w:before="240"/>
        <w:rPr>
          <w:lang w:val="hr-HR"/>
        </w:rPr>
      </w:pPr>
    </w:p>
    <w:p w14:paraId="6F26546C" w14:textId="77777777" w:rsidR="008B368B" w:rsidRPr="000D708C" w:rsidRDefault="008B368B" w:rsidP="00905BC0">
      <w:pPr>
        <w:spacing w:before="240"/>
        <w:rPr>
          <w:lang w:val="hr-HR"/>
        </w:rPr>
      </w:pPr>
    </w:p>
    <w:p w14:paraId="2C819DDC" w14:textId="77777777" w:rsidR="00864546" w:rsidRPr="000D708C" w:rsidRDefault="00864546" w:rsidP="00905BC0">
      <w:pPr>
        <w:pStyle w:val="Heading2"/>
        <w:numPr>
          <w:ilvl w:val="1"/>
          <w:numId w:val="1"/>
        </w:numPr>
        <w:spacing w:before="240" w:line="276" w:lineRule="auto"/>
        <w:rPr>
          <w:lang w:val="hr-HR"/>
        </w:rPr>
      </w:pPr>
      <w:bookmarkStart w:id="38" w:name="_Toc10032434"/>
      <w:r w:rsidRPr="000D708C">
        <w:rPr>
          <w:lang w:val="hr-HR"/>
        </w:rPr>
        <w:lastRenderedPageBreak/>
        <w:t>Jačanje pravnog i institucionalnog okvira upravljanja javnim dugom</w:t>
      </w:r>
      <w:bookmarkEnd w:id="38"/>
      <w:r w:rsidRPr="000D708C" w:rsidDel="00864546">
        <w:rPr>
          <w:lang w:val="hr-HR"/>
        </w:rPr>
        <w:t xml:space="preserve"> </w:t>
      </w:r>
    </w:p>
    <w:p w14:paraId="0391C6AF" w14:textId="77777777" w:rsidR="00610999" w:rsidRDefault="00610999" w:rsidP="00F711E0">
      <w:pPr>
        <w:rPr>
          <w:sz w:val="24"/>
          <w:highlight w:val="yellow"/>
          <w:lang w:val="hr-HR"/>
        </w:rPr>
      </w:pPr>
    </w:p>
    <w:p w14:paraId="0A7FDF2D" w14:textId="77777777" w:rsidR="009D7141" w:rsidRPr="009D7141" w:rsidRDefault="009D7141"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9D7141">
        <w:rPr>
          <w:rFonts w:asciiTheme="majorHAnsi" w:eastAsiaTheme="majorEastAsia" w:hAnsiTheme="majorHAnsi" w:cstheme="majorBidi"/>
          <w:i/>
          <w:iCs/>
          <w:color w:val="4F81BD" w:themeColor="accent1"/>
          <w:spacing w:val="15"/>
          <w:sz w:val="24"/>
          <w:szCs w:val="24"/>
          <w:lang w:val="hr-HR"/>
        </w:rPr>
        <w:t xml:space="preserve">Učinkovitiji sustav financijskog i statističkog </w:t>
      </w:r>
      <w:r w:rsidR="0026515A" w:rsidRPr="009D7141">
        <w:rPr>
          <w:rFonts w:asciiTheme="majorHAnsi" w:eastAsiaTheme="majorEastAsia" w:hAnsiTheme="majorHAnsi" w:cstheme="majorBidi"/>
          <w:i/>
          <w:iCs/>
          <w:color w:val="4F81BD" w:themeColor="accent1"/>
          <w:spacing w:val="15"/>
          <w:sz w:val="24"/>
          <w:szCs w:val="24"/>
          <w:lang w:val="hr-HR"/>
        </w:rPr>
        <w:t>planiranja</w:t>
      </w:r>
      <w:r w:rsidRPr="009D7141">
        <w:rPr>
          <w:rFonts w:asciiTheme="majorHAnsi" w:eastAsiaTheme="majorEastAsia" w:hAnsiTheme="majorHAnsi" w:cstheme="majorBidi"/>
          <w:i/>
          <w:iCs/>
          <w:color w:val="4F81BD" w:themeColor="accent1"/>
          <w:spacing w:val="15"/>
          <w:sz w:val="24"/>
          <w:szCs w:val="24"/>
          <w:lang w:val="hr-HR"/>
        </w:rPr>
        <w:t xml:space="preserve"> i izvještavanja izvanproračunskih korisnika</w:t>
      </w:r>
    </w:p>
    <w:p w14:paraId="66A16C48" w14:textId="77777777" w:rsidR="00081125" w:rsidRDefault="00F711E0" w:rsidP="00F711E0">
      <w:pPr>
        <w:spacing w:line="276" w:lineRule="auto"/>
        <w:jc w:val="both"/>
        <w:rPr>
          <w:sz w:val="24"/>
          <w:lang w:val="hr-HR"/>
        </w:rPr>
      </w:pPr>
      <w:r w:rsidRPr="00D836EF">
        <w:rPr>
          <w:sz w:val="24"/>
          <w:lang w:val="hr-HR"/>
        </w:rPr>
        <w:t xml:space="preserve">Tijekom proteklog razdoblja uočena je potreba za jačanjem kontrole poslovanja </w:t>
      </w:r>
      <w:r>
        <w:rPr>
          <w:sz w:val="24"/>
          <w:lang w:val="hr-HR"/>
        </w:rPr>
        <w:t xml:space="preserve">trgovačkih društava i drugih pravnih osoba koja </w:t>
      </w:r>
      <w:r w:rsidRPr="00D836EF">
        <w:rPr>
          <w:sz w:val="24"/>
          <w:lang w:val="hr-HR"/>
        </w:rPr>
        <w:t xml:space="preserve">se sukladno metodologiji ESA 2010 razvrstavaju u sektor opće države. </w:t>
      </w:r>
      <w:r>
        <w:rPr>
          <w:sz w:val="24"/>
          <w:lang w:val="hr-HR"/>
        </w:rPr>
        <w:t>Stoga su u 2018. godini u okviru projekta „Uspostava učinkovitijeg sustava financijskog i statističkog izvještavanja“ izrađene vezne tablice, kojima se omogućuje prevođenje poslovnih događaja</w:t>
      </w:r>
      <w:r w:rsidRPr="004117D9">
        <w:t xml:space="preserve"> </w:t>
      </w:r>
      <w:r w:rsidRPr="004117D9">
        <w:rPr>
          <w:sz w:val="24"/>
          <w:lang w:val="hr-HR"/>
        </w:rPr>
        <w:t>proizašlih iz poslovanja pojedinog izvanproračunskog korisnika iz računovodstvenog sustava</w:t>
      </w:r>
      <w:r>
        <w:rPr>
          <w:sz w:val="24"/>
          <w:lang w:val="hr-HR"/>
        </w:rPr>
        <w:t>,</w:t>
      </w:r>
      <w:r w:rsidRPr="004117D9">
        <w:rPr>
          <w:sz w:val="24"/>
          <w:lang w:val="hr-HR"/>
        </w:rPr>
        <w:t xml:space="preserve"> koji taj izvanproračunski korisnik primjenjuje</w:t>
      </w:r>
      <w:r>
        <w:rPr>
          <w:sz w:val="24"/>
          <w:lang w:val="hr-HR"/>
        </w:rPr>
        <w:t>,</w:t>
      </w:r>
      <w:r w:rsidRPr="004117D9">
        <w:rPr>
          <w:sz w:val="24"/>
          <w:lang w:val="hr-HR"/>
        </w:rPr>
        <w:t xml:space="preserve"> u sustav proračunskog računovodstva.</w:t>
      </w:r>
      <w:r>
        <w:rPr>
          <w:sz w:val="24"/>
          <w:lang w:val="hr-HR"/>
        </w:rPr>
        <w:t xml:space="preserve"> Projektom su bili</w:t>
      </w:r>
      <w:r w:rsidRPr="00DE2422">
        <w:rPr>
          <w:sz w:val="24"/>
          <w:lang w:val="hr-HR"/>
        </w:rPr>
        <w:t xml:space="preserve"> obuhvaćeni</w:t>
      </w:r>
      <w:r w:rsidR="005F310F">
        <w:rPr>
          <w:sz w:val="24"/>
          <w:lang w:val="hr-HR"/>
        </w:rPr>
        <w:t>:</w:t>
      </w:r>
      <w:r w:rsidRPr="00DE2422">
        <w:rPr>
          <w:sz w:val="24"/>
          <w:lang w:val="hr-HR"/>
        </w:rPr>
        <w:t xml:space="preserve"> </w:t>
      </w:r>
      <w:r>
        <w:rPr>
          <w:sz w:val="24"/>
          <w:lang w:val="hr-HR"/>
        </w:rPr>
        <w:t>DAB</w:t>
      </w:r>
      <w:r w:rsidRPr="00DE2422">
        <w:rPr>
          <w:sz w:val="24"/>
          <w:lang w:val="hr-HR"/>
        </w:rPr>
        <w:t xml:space="preserve">, HŽI, HŽPP, </w:t>
      </w:r>
      <w:r>
        <w:rPr>
          <w:sz w:val="24"/>
          <w:lang w:val="hr-HR"/>
        </w:rPr>
        <w:t>HC</w:t>
      </w:r>
      <w:r w:rsidRPr="00DE2422">
        <w:rPr>
          <w:sz w:val="24"/>
          <w:lang w:val="hr-HR"/>
        </w:rPr>
        <w:t xml:space="preserve">, HAC, ARZ, </w:t>
      </w:r>
      <w:r>
        <w:rPr>
          <w:sz w:val="24"/>
          <w:lang w:val="hr-HR"/>
        </w:rPr>
        <w:t>HRT</w:t>
      </w:r>
      <w:r w:rsidRPr="00DE2422">
        <w:rPr>
          <w:sz w:val="24"/>
          <w:lang w:val="hr-HR"/>
        </w:rPr>
        <w:t xml:space="preserve">, </w:t>
      </w:r>
      <w:r>
        <w:rPr>
          <w:sz w:val="24"/>
          <w:lang w:val="hr-HR"/>
        </w:rPr>
        <w:t xml:space="preserve">HBOR, HROTE, </w:t>
      </w:r>
      <w:r w:rsidR="005F310F">
        <w:rPr>
          <w:sz w:val="24"/>
          <w:lang w:val="hr-HR"/>
        </w:rPr>
        <w:t>NEK</w:t>
      </w:r>
      <w:r>
        <w:rPr>
          <w:sz w:val="24"/>
          <w:lang w:val="hr-HR"/>
        </w:rPr>
        <w:t xml:space="preserve"> te</w:t>
      </w:r>
      <w:r w:rsidRPr="00DE2422">
        <w:rPr>
          <w:sz w:val="24"/>
          <w:lang w:val="hr-HR"/>
        </w:rPr>
        <w:t xml:space="preserve"> Fond hrvatskih branitelja iz Domovinskog r</w:t>
      </w:r>
      <w:r>
        <w:rPr>
          <w:sz w:val="24"/>
          <w:lang w:val="hr-HR"/>
        </w:rPr>
        <w:t>ata i članova njihovih obitelji</w:t>
      </w:r>
      <w:r w:rsidRPr="00DE2422">
        <w:rPr>
          <w:sz w:val="24"/>
          <w:lang w:val="hr-HR"/>
        </w:rPr>
        <w:t>.</w:t>
      </w:r>
      <w:r w:rsidR="00ED0354">
        <w:rPr>
          <w:sz w:val="24"/>
          <w:lang w:val="hr-HR"/>
        </w:rPr>
        <w:t xml:space="preserve"> Cilj je </w:t>
      </w:r>
      <w:r w:rsidR="009D7141">
        <w:rPr>
          <w:sz w:val="24"/>
          <w:lang w:val="hr-HR"/>
        </w:rPr>
        <w:t xml:space="preserve">bio </w:t>
      </w:r>
      <w:r w:rsidR="00ED0354">
        <w:rPr>
          <w:sz w:val="24"/>
          <w:lang w:val="hr-HR"/>
        </w:rPr>
        <w:t xml:space="preserve">unaprijediti kvalitetu podataka u </w:t>
      </w:r>
      <w:r w:rsidR="00ED0354" w:rsidRPr="00ED0354">
        <w:rPr>
          <w:sz w:val="24"/>
          <w:lang w:val="hr-HR"/>
        </w:rPr>
        <w:t>financijskim i statističkim izvještajima</w:t>
      </w:r>
      <w:r w:rsidR="00ED0354">
        <w:rPr>
          <w:sz w:val="24"/>
          <w:lang w:val="hr-HR"/>
        </w:rPr>
        <w:t xml:space="preserve">, ali i </w:t>
      </w:r>
      <w:r w:rsidR="00081125">
        <w:rPr>
          <w:sz w:val="24"/>
          <w:lang w:val="hr-HR"/>
        </w:rPr>
        <w:t>pri izradi financijskih planova izvanproračunskih korisnika.</w:t>
      </w:r>
    </w:p>
    <w:p w14:paraId="59C3E311" w14:textId="77777777" w:rsidR="00F711E0" w:rsidRDefault="005F310F" w:rsidP="00081125">
      <w:pPr>
        <w:spacing w:before="240" w:line="276" w:lineRule="auto"/>
        <w:jc w:val="both"/>
        <w:rPr>
          <w:sz w:val="24"/>
          <w:lang w:val="hr-HR"/>
        </w:rPr>
      </w:pPr>
      <w:r>
        <w:rPr>
          <w:sz w:val="24"/>
          <w:lang w:val="hr-HR"/>
        </w:rPr>
        <w:t>Slijedom navedenog</w:t>
      </w:r>
      <w:r w:rsidR="009D7141">
        <w:rPr>
          <w:sz w:val="24"/>
          <w:lang w:val="hr-HR"/>
        </w:rPr>
        <w:t xml:space="preserve">, u prvoj fazi planira se </w:t>
      </w:r>
      <w:r w:rsidR="00081125">
        <w:rPr>
          <w:sz w:val="24"/>
          <w:lang w:val="hr-HR"/>
        </w:rPr>
        <w:t xml:space="preserve">ujednačiti </w:t>
      </w:r>
      <w:r w:rsidR="00081125" w:rsidRPr="00D836EF">
        <w:rPr>
          <w:sz w:val="24"/>
          <w:lang w:val="hr-HR"/>
        </w:rPr>
        <w:t xml:space="preserve">postupak planiranja i izvještavanja o izvršenju financijskih planova </w:t>
      </w:r>
      <w:r w:rsidR="009D7141" w:rsidRPr="009D7141">
        <w:rPr>
          <w:sz w:val="24"/>
          <w:lang w:val="hr-HR"/>
        </w:rPr>
        <w:t>trgovačk</w:t>
      </w:r>
      <w:r w:rsidR="009D7141">
        <w:rPr>
          <w:sz w:val="24"/>
          <w:lang w:val="hr-HR"/>
        </w:rPr>
        <w:t>ih</w:t>
      </w:r>
      <w:r w:rsidR="009D7141" w:rsidRPr="009D7141">
        <w:rPr>
          <w:sz w:val="24"/>
          <w:lang w:val="hr-HR"/>
        </w:rPr>
        <w:t xml:space="preserve"> društ</w:t>
      </w:r>
      <w:r w:rsidR="009D7141">
        <w:rPr>
          <w:sz w:val="24"/>
          <w:lang w:val="hr-HR"/>
        </w:rPr>
        <w:t>a</w:t>
      </w:r>
      <w:r w:rsidR="009D7141" w:rsidRPr="009D7141">
        <w:rPr>
          <w:sz w:val="24"/>
          <w:lang w:val="hr-HR"/>
        </w:rPr>
        <w:t>va iz sektora prometa</w:t>
      </w:r>
      <w:r w:rsidR="009D7141">
        <w:rPr>
          <w:sz w:val="24"/>
          <w:lang w:val="hr-HR"/>
        </w:rPr>
        <w:t xml:space="preserve"> (HAC, ARZ, HŽI, HŽPP)</w:t>
      </w:r>
      <w:r w:rsidR="009D7141" w:rsidRPr="009D7141">
        <w:rPr>
          <w:sz w:val="24"/>
          <w:lang w:val="hr-HR"/>
        </w:rPr>
        <w:t xml:space="preserve"> </w:t>
      </w:r>
      <w:r w:rsidR="00081125" w:rsidRPr="00D836EF">
        <w:rPr>
          <w:sz w:val="24"/>
          <w:lang w:val="hr-HR"/>
        </w:rPr>
        <w:t>s postojećim postupkom važećim za izvanproračunske korisnike</w:t>
      </w:r>
      <w:r w:rsidR="00081125">
        <w:rPr>
          <w:sz w:val="24"/>
          <w:lang w:val="hr-HR"/>
        </w:rPr>
        <w:t xml:space="preserve"> državnog proračuna</w:t>
      </w:r>
      <w:r w:rsidR="00081125" w:rsidRPr="00D836EF">
        <w:rPr>
          <w:sz w:val="24"/>
          <w:lang w:val="hr-HR"/>
        </w:rPr>
        <w:t xml:space="preserve">. To </w:t>
      </w:r>
      <w:r w:rsidR="00081125">
        <w:rPr>
          <w:sz w:val="24"/>
          <w:lang w:val="hr-HR"/>
        </w:rPr>
        <w:t>podrazumijeva</w:t>
      </w:r>
      <w:r w:rsidR="00081125" w:rsidRPr="00D836EF">
        <w:rPr>
          <w:sz w:val="24"/>
          <w:lang w:val="hr-HR"/>
        </w:rPr>
        <w:t xml:space="preserve"> i davanje suglasnosti Hrvatskog sabora na financijske planove i na izvještaje o izvršenju financijskih planova </w:t>
      </w:r>
      <w:r w:rsidR="009D7141">
        <w:rPr>
          <w:sz w:val="24"/>
          <w:lang w:val="hr-HR"/>
        </w:rPr>
        <w:t>spomenutih</w:t>
      </w:r>
      <w:r w:rsidR="00081125" w:rsidRPr="00D836EF">
        <w:rPr>
          <w:sz w:val="24"/>
          <w:lang w:val="hr-HR"/>
        </w:rPr>
        <w:t xml:space="preserve"> korisnika</w:t>
      </w:r>
      <w:r w:rsidR="009D7141">
        <w:rPr>
          <w:sz w:val="24"/>
          <w:lang w:val="hr-HR"/>
        </w:rPr>
        <w:t>, a čiji</w:t>
      </w:r>
      <w:r w:rsidR="00081125" w:rsidRPr="00D836EF">
        <w:rPr>
          <w:sz w:val="24"/>
          <w:lang w:val="hr-HR"/>
        </w:rPr>
        <w:t xml:space="preserve"> podaci će se iskazivati prema pravilima proračunskog računovodstva. Uzimajući u obzir </w:t>
      </w:r>
      <w:r w:rsidR="009D7141">
        <w:rPr>
          <w:sz w:val="24"/>
          <w:lang w:val="hr-HR"/>
        </w:rPr>
        <w:t xml:space="preserve">sve </w:t>
      </w:r>
      <w:r w:rsidR="00081125" w:rsidRPr="00D836EF">
        <w:rPr>
          <w:sz w:val="24"/>
          <w:lang w:val="hr-HR"/>
        </w:rPr>
        <w:t>navedeno,</w:t>
      </w:r>
      <w:r w:rsidR="009D7141">
        <w:rPr>
          <w:sz w:val="24"/>
          <w:lang w:val="hr-HR"/>
        </w:rPr>
        <w:t xml:space="preserve"> o</w:t>
      </w:r>
      <w:r w:rsidR="00081125">
        <w:rPr>
          <w:sz w:val="24"/>
          <w:lang w:val="hr-HR"/>
        </w:rPr>
        <w:t xml:space="preserve">d </w:t>
      </w:r>
      <w:r w:rsidR="0007582E">
        <w:rPr>
          <w:sz w:val="24"/>
          <w:lang w:val="hr-HR"/>
        </w:rPr>
        <w:t>2019.</w:t>
      </w:r>
      <w:r w:rsidR="00081125">
        <w:rPr>
          <w:sz w:val="24"/>
          <w:lang w:val="hr-HR"/>
        </w:rPr>
        <w:t xml:space="preserve"> godine Hrvatski sabor će</w:t>
      </w:r>
      <w:r w:rsidR="00ED0354" w:rsidRPr="00D836EF">
        <w:rPr>
          <w:sz w:val="24"/>
          <w:lang w:val="hr-HR"/>
        </w:rPr>
        <w:t xml:space="preserve"> po prvi puta dati suglasnost na financijske planove izvanproračunskih korisnika iz sektora prometa uz donošenje Državnog proračuna RH za 2020. i projekcij</w:t>
      </w:r>
      <w:r w:rsidR="005871AB">
        <w:rPr>
          <w:sz w:val="24"/>
          <w:lang w:val="hr-HR"/>
        </w:rPr>
        <w:t>a</w:t>
      </w:r>
      <w:r w:rsidR="00ED0354" w:rsidRPr="00D836EF">
        <w:rPr>
          <w:sz w:val="24"/>
          <w:lang w:val="hr-HR"/>
        </w:rPr>
        <w:t xml:space="preserve"> za 2021. i 2022. godinu.</w:t>
      </w:r>
    </w:p>
    <w:p w14:paraId="4AEAE601" w14:textId="77777777" w:rsidR="0026515A" w:rsidRPr="006F212D" w:rsidRDefault="0026515A" w:rsidP="006F212D">
      <w:pPr>
        <w:spacing w:after="200" w:line="276" w:lineRule="auto"/>
        <w:jc w:val="both"/>
        <w:rPr>
          <w:rFonts w:asciiTheme="majorHAnsi" w:eastAsiaTheme="majorEastAsia" w:hAnsiTheme="majorHAnsi" w:cstheme="majorBidi"/>
          <w:i/>
          <w:iCs/>
          <w:color w:val="4F81BD" w:themeColor="accent1"/>
          <w:spacing w:val="15"/>
          <w:sz w:val="24"/>
          <w:szCs w:val="24"/>
          <w:lang w:val="hr-HR"/>
        </w:rPr>
      </w:pPr>
    </w:p>
    <w:p w14:paraId="3086A49B" w14:textId="77777777" w:rsidR="00ED0354" w:rsidRPr="0026515A" w:rsidRDefault="0026515A"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Pr>
          <w:rFonts w:asciiTheme="majorHAnsi" w:eastAsiaTheme="majorEastAsia" w:hAnsiTheme="majorHAnsi" w:cstheme="majorBidi"/>
          <w:i/>
          <w:iCs/>
          <w:color w:val="4F81BD" w:themeColor="accent1"/>
          <w:spacing w:val="15"/>
          <w:sz w:val="24"/>
          <w:szCs w:val="24"/>
          <w:lang w:val="hr-HR"/>
        </w:rPr>
        <w:t>Zakon o fiskalnoj odgovornosti</w:t>
      </w:r>
    </w:p>
    <w:p w14:paraId="3865ABE5" w14:textId="77777777" w:rsidR="0026515A" w:rsidRPr="0026515A" w:rsidRDefault="0026515A" w:rsidP="0026515A">
      <w:pPr>
        <w:spacing w:after="200" w:line="276" w:lineRule="auto"/>
        <w:jc w:val="both"/>
        <w:rPr>
          <w:sz w:val="24"/>
          <w:szCs w:val="24"/>
          <w:lang w:val="hr-HR"/>
        </w:rPr>
      </w:pPr>
      <w:r w:rsidRPr="0026515A">
        <w:rPr>
          <w:sz w:val="24"/>
          <w:szCs w:val="24"/>
          <w:lang w:val="hr-HR"/>
        </w:rPr>
        <w:t>Zakon o fiskalnoj odgovornosti</w:t>
      </w:r>
      <w:r w:rsidRPr="0026515A">
        <w:rPr>
          <w:rFonts w:cs="Times New Roman"/>
          <w:sz w:val="24"/>
          <w:szCs w:val="24"/>
          <w:vertAlign w:val="superscript"/>
          <w:lang w:val="hr-HR"/>
        </w:rPr>
        <w:footnoteReference w:id="8"/>
      </w:r>
      <w:r w:rsidRPr="0026515A">
        <w:rPr>
          <w:sz w:val="24"/>
          <w:szCs w:val="24"/>
          <w:lang w:val="hr-HR"/>
        </w:rPr>
        <w:t xml:space="preserve"> stupio je na snagu 1. siječnja 2019. s ciljem osiguranja srednjoročne i dugoročne održivosti javnih financija te daljnjeg unapređenja fiskalne odgovornosti i transparentnosti. Njime se u potpunosti usklađuju fiskalna pravila s odredbama Pakta o stabilnosti i rastu, jača se neovisnost Povjerenstva za fiskalnu politiku te se dodatno uređuje i obveza davanja godišnje Izjave o fiskalnoj odgovornosti. </w:t>
      </w:r>
    </w:p>
    <w:p w14:paraId="2F804503" w14:textId="77777777" w:rsidR="0026515A" w:rsidRDefault="0026515A" w:rsidP="0026515A">
      <w:pPr>
        <w:spacing w:after="200" w:line="276" w:lineRule="auto"/>
        <w:jc w:val="both"/>
        <w:rPr>
          <w:sz w:val="24"/>
          <w:szCs w:val="24"/>
          <w:lang w:val="hr-HR"/>
        </w:rPr>
      </w:pPr>
      <w:r>
        <w:rPr>
          <w:sz w:val="24"/>
          <w:szCs w:val="24"/>
          <w:lang w:val="hr-HR"/>
        </w:rPr>
        <w:t>O</w:t>
      </w:r>
      <w:r w:rsidRPr="0026515A">
        <w:rPr>
          <w:sz w:val="24"/>
          <w:szCs w:val="24"/>
          <w:lang w:val="hr-HR"/>
        </w:rPr>
        <w:t xml:space="preserve">vim </w:t>
      </w:r>
      <w:r>
        <w:rPr>
          <w:sz w:val="24"/>
          <w:szCs w:val="24"/>
          <w:lang w:val="hr-HR"/>
        </w:rPr>
        <w:t>Z</w:t>
      </w:r>
      <w:r w:rsidRPr="0026515A">
        <w:rPr>
          <w:sz w:val="24"/>
          <w:szCs w:val="24"/>
          <w:lang w:val="hr-HR"/>
        </w:rPr>
        <w:t xml:space="preserve">akonom utvrđuju </w:t>
      </w:r>
      <w:r>
        <w:rPr>
          <w:sz w:val="24"/>
          <w:szCs w:val="24"/>
          <w:lang w:val="hr-HR"/>
        </w:rPr>
        <w:t xml:space="preserve">se </w:t>
      </w:r>
      <w:r w:rsidRPr="0026515A">
        <w:rPr>
          <w:sz w:val="24"/>
          <w:szCs w:val="24"/>
          <w:lang w:val="hr-HR"/>
        </w:rPr>
        <w:t xml:space="preserve">tri fiskalna pravila, a odnose se na pravilo strukturnog salda, pravilo rashoda i pravilo javnog duga. Prema pravilu strukturnog salda ciljana vrijednost postaje srednjoročni proračunski cilj koji će se ostvarivati prema planu prilagodbe sukladno pravnim odredbama EU. U svrhu održivog kretanja rashoda uvodi se pravilo prema kojem godišnji rast rashoda općeg proračuna ne smije prelaziti referentnu potencijalnu stopu rasta </w:t>
      </w:r>
      <w:r w:rsidRPr="0026515A">
        <w:rPr>
          <w:sz w:val="24"/>
          <w:szCs w:val="24"/>
          <w:lang w:val="hr-HR"/>
        </w:rPr>
        <w:lastRenderedPageBreak/>
        <w:t xml:space="preserve">BDP-a koja se utvrđuje sukladno pravnim odredbama EU. Pritom se dozvoljavaju izuzeća za pojedine kategorije rashoda. Pravilo javnog duga određuje da udio javnog duga u BDP-u ne smije prijeći referentnu vrijednost od 60%. Ako udio prelazi spomenutu vrijednost, razlika između javnog duga u BDP-u i referentne vrijednosti od 60% mora se smanjivati po dinamici koja je u skladu s pravnim odredbama EU. Privremeno odgađanje primjene fiskalnih pravila bit će dozvoljeno u slučaju izvanrednih okolnosti, a pod uvjetom da se time ne ugrožava fiskalna održivost u srednjem roku. </w:t>
      </w:r>
    </w:p>
    <w:p w14:paraId="66E44F3E" w14:textId="77777777" w:rsidR="0026515A" w:rsidRDefault="001C7063" w:rsidP="004F554E">
      <w:pPr>
        <w:spacing w:before="240" w:line="276" w:lineRule="auto"/>
        <w:jc w:val="both"/>
        <w:rPr>
          <w:sz w:val="24"/>
          <w:szCs w:val="24"/>
          <w:lang w:val="hr-HR"/>
        </w:rPr>
      </w:pPr>
      <w:r>
        <w:rPr>
          <w:sz w:val="24"/>
          <w:szCs w:val="24"/>
          <w:lang w:val="hr-HR"/>
        </w:rPr>
        <w:t>Nadalje, Zakonom se definira i</w:t>
      </w:r>
      <w:r w:rsidR="0026515A" w:rsidRPr="0026515A">
        <w:rPr>
          <w:sz w:val="24"/>
          <w:szCs w:val="24"/>
          <w:lang w:val="hr-HR"/>
        </w:rPr>
        <w:t xml:space="preserve"> Povjerenstvo za fiskalnu politiku kao stalno, neovisno i samostalno tijelo koje obavlja poslove iz svog djelokruga rada i nadležnosti. </w:t>
      </w:r>
      <w:r>
        <w:rPr>
          <w:sz w:val="24"/>
          <w:szCs w:val="24"/>
          <w:lang w:val="hr-HR"/>
        </w:rPr>
        <w:t>J</w:t>
      </w:r>
      <w:r w:rsidRPr="0026515A">
        <w:rPr>
          <w:sz w:val="24"/>
          <w:szCs w:val="24"/>
          <w:lang w:val="hr-HR"/>
        </w:rPr>
        <w:t xml:space="preserve">ača se </w:t>
      </w:r>
      <w:r>
        <w:rPr>
          <w:sz w:val="24"/>
          <w:szCs w:val="24"/>
          <w:lang w:val="hr-HR"/>
        </w:rPr>
        <w:t xml:space="preserve">njegova </w:t>
      </w:r>
      <w:r w:rsidRPr="0026515A">
        <w:rPr>
          <w:sz w:val="24"/>
          <w:szCs w:val="24"/>
          <w:lang w:val="hr-HR"/>
        </w:rPr>
        <w:t>uloga kao supervizora nad primjenom ovog Zakona, ali i nad provođenjem fiskalne politike države u cijelosti, a sve u svrhu unapređenja stabilnosti javnih financija.</w:t>
      </w:r>
    </w:p>
    <w:p w14:paraId="5FC0DE7B" w14:textId="77777777" w:rsidR="006F212D" w:rsidRDefault="006F212D" w:rsidP="006F212D">
      <w:pPr>
        <w:spacing w:after="200" w:line="276" w:lineRule="auto"/>
        <w:jc w:val="both"/>
        <w:rPr>
          <w:rFonts w:asciiTheme="majorHAnsi" w:eastAsiaTheme="majorEastAsia" w:hAnsiTheme="majorHAnsi" w:cstheme="majorBidi"/>
          <w:i/>
          <w:iCs/>
          <w:color w:val="4F81BD" w:themeColor="accent1"/>
          <w:spacing w:val="15"/>
          <w:sz w:val="24"/>
          <w:szCs w:val="24"/>
          <w:lang w:val="hr-HR"/>
        </w:rPr>
      </w:pPr>
    </w:p>
    <w:p w14:paraId="0523F02D" w14:textId="77777777" w:rsidR="00F711E0" w:rsidRPr="006F212D" w:rsidRDefault="00F711E0" w:rsidP="00DF23F9">
      <w:pPr>
        <w:spacing w:after="200" w:line="276" w:lineRule="auto"/>
        <w:rPr>
          <w:rFonts w:asciiTheme="majorHAnsi" w:eastAsiaTheme="majorEastAsia" w:hAnsiTheme="majorHAnsi" w:cstheme="majorBidi"/>
          <w:i/>
          <w:iCs/>
          <w:color w:val="4F81BD" w:themeColor="accent1"/>
          <w:spacing w:val="15"/>
          <w:sz w:val="24"/>
          <w:szCs w:val="24"/>
          <w:lang w:val="hr-HR"/>
        </w:rPr>
      </w:pPr>
      <w:r w:rsidRPr="006F212D">
        <w:rPr>
          <w:rFonts w:asciiTheme="majorHAnsi" w:eastAsiaTheme="majorEastAsia" w:hAnsiTheme="majorHAnsi" w:cstheme="majorBidi"/>
          <w:i/>
          <w:iCs/>
          <w:color w:val="4F81BD" w:themeColor="accent1"/>
          <w:spacing w:val="15"/>
          <w:sz w:val="24"/>
          <w:szCs w:val="24"/>
          <w:lang w:val="hr-HR"/>
        </w:rPr>
        <w:t>Novi Zakon o proračunu</w:t>
      </w:r>
    </w:p>
    <w:p w14:paraId="4EC19981" w14:textId="77777777" w:rsidR="005F4064" w:rsidRDefault="005F4064" w:rsidP="00DE2422">
      <w:pPr>
        <w:spacing w:before="240" w:line="276" w:lineRule="auto"/>
        <w:jc w:val="both"/>
        <w:rPr>
          <w:sz w:val="24"/>
          <w:lang w:val="hr-HR"/>
        </w:rPr>
      </w:pPr>
      <w:r>
        <w:rPr>
          <w:sz w:val="24"/>
          <w:lang w:val="hr-HR"/>
        </w:rPr>
        <w:t>U okviru novog Zakona o proračunu</w:t>
      </w:r>
      <w:r w:rsidR="005F310F">
        <w:rPr>
          <w:sz w:val="24"/>
          <w:lang w:val="hr-HR"/>
        </w:rPr>
        <w:t>,</w:t>
      </w:r>
      <w:r>
        <w:rPr>
          <w:sz w:val="24"/>
          <w:lang w:val="hr-HR"/>
        </w:rPr>
        <w:t xml:space="preserve"> koji je trenutno u pripremi, postojeći pravni okvir upravljanja javnim dugom će se unaprijediti u dijelu jačanja sustava kontrola nad stvaranjem višegodišnjih financijskih obveza, poboljšat će se okvir za zaduživanje </w:t>
      </w:r>
      <w:r w:rsidR="005F310F" w:rsidRPr="005F310F">
        <w:rPr>
          <w:sz w:val="24"/>
          <w:lang w:val="hr-HR"/>
        </w:rPr>
        <w:t>jedinic</w:t>
      </w:r>
      <w:r w:rsidR="005F310F">
        <w:rPr>
          <w:sz w:val="24"/>
          <w:lang w:val="hr-HR"/>
        </w:rPr>
        <w:t>a</w:t>
      </w:r>
      <w:r w:rsidR="005F310F" w:rsidRPr="005F310F">
        <w:rPr>
          <w:sz w:val="24"/>
          <w:lang w:val="hr-HR"/>
        </w:rPr>
        <w:t xml:space="preserve"> lokalne i područne (regionalne) samouprave </w:t>
      </w:r>
      <w:r>
        <w:rPr>
          <w:sz w:val="24"/>
          <w:lang w:val="hr-HR"/>
        </w:rPr>
        <w:t>kao i odredbe koje se odnose na državna jamstva.</w:t>
      </w:r>
    </w:p>
    <w:p w14:paraId="742ADBAD" w14:textId="77777777" w:rsidR="005F4064" w:rsidRDefault="001B09D8" w:rsidP="00DE2422">
      <w:pPr>
        <w:spacing w:before="240" w:line="276" w:lineRule="auto"/>
        <w:jc w:val="both"/>
        <w:rPr>
          <w:sz w:val="24"/>
          <w:lang w:val="hr-HR"/>
        </w:rPr>
      </w:pPr>
      <w:r>
        <w:rPr>
          <w:sz w:val="24"/>
          <w:lang w:val="hr-HR"/>
        </w:rPr>
        <w:t>Sukladno važećem Zakonu o proračunu,</w:t>
      </w:r>
      <w:r w:rsidRPr="001B09D8">
        <w:rPr>
          <w:sz w:val="24"/>
          <w:lang w:val="hr-HR"/>
        </w:rPr>
        <w:t xml:space="preserve"> suglasnost Vlade RH odnosno ministra financija nije potrebna za obveze povezane sa zaduživanjem države i s upravljanjem državnim dugom te za obveze preuzete temeljem međunarodnih sporazuma i projekata financiranih sredstvima EU. No, kako EU sredstva postaju sve značajniji izvor financiranja, tako se povećava i komponenta njihovog nacionalnog sufinanciranja. Stoga će se novim Zakonom uvesti bolja kontrola nad stvaranjem višegodišnjih ugovornih obveza po osnovi EU projekata, a na način koji neće usporiti njihovo ugovaranje i provođenje.</w:t>
      </w:r>
    </w:p>
    <w:p w14:paraId="2B3A78AE" w14:textId="77777777" w:rsidR="001B09D8" w:rsidRDefault="001B09D8" w:rsidP="00DE2422">
      <w:pPr>
        <w:spacing w:before="240" w:line="276" w:lineRule="auto"/>
        <w:jc w:val="both"/>
        <w:rPr>
          <w:sz w:val="24"/>
          <w:lang w:val="hr-HR"/>
        </w:rPr>
      </w:pPr>
      <w:r>
        <w:rPr>
          <w:sz w:val="24"/>
          <w:lang w:val="hr-HR"/>
        </w:rPr>
        <w:t>U</w:t>
      </w:r>
      <w:r w:rsidRPr="001B09D8">
        <w:rPr>
          <w:sz w:val="24"/>
          <w:lang w:val="hr-HR"/>
        </w:rPr>
        <w:t xml:space="preserve">naprijedit će i okvir zaduživanja </w:t>
      </w:r>
      <w:r w:rsidR="005F310F" w:rsidRPr="005F310F">
        <w:rPr>
          <w:sz w:val="24"/>
          <w:lang w:val="hr-HR"/>
        </w:rPr>
        <w:t>jedinic</w:t>
      </w:r>
      <w:r w:rsidR="005F310F">
        <w:rPr>
          <w:sz w:val="24"/>
          <w:lang w:val="hr-HR"/>
        </w:rPr>
        <w:t>a</w:t>
      </w:r>
      <w:r w:rsidR="005F310F" w:rsidRPr="005F310F">
        <w:rPr>
          <w:sz w:val="24"/>
          <w:lang w:val="hr-HR"/>
        </w:rPr>
        <w:t xml:space="preserve"> lokalne i područne (regionalne) samouprave</w:t>
      </w:r>
      <w:r w:rsidRPr="001B09D8">
        <w:rPr>
          <w:sz w:val="24"/>
          <w:lang w:val="hr-HR"/>
        </w:rPr>
        <w:t xml:space="preserve">. </w:t>
      </w:r>
      <w:r>
        <w:rPr>
          <w:sz w:val="24"/>
          <w:lang w:val="hr-HR"/>
        </w:rPr>
        <w:t xml:space="preserve">Naime, trenutno se </w:t>
      </w:r>
      <w:r w:rsidR="005F310F">
        <w:rPr>
          <w:sz w:val="24"/>
          <w:lang w:val="hr-HR"/>
        </w:rPr>
        <w:t>iste</w:t>
      </w:r>
      <w:r w:rsidRPr="001B09D8">
        <w:rPr>
          <w:sz w:val="24"/>
          <w:lang w:val="hr-HR"/>
        </w:rPr>
        <w:t xml:space="preserve"> </w:t>
      </w:r>
      <w:r w:rsidR="005F310F">
        <w:rPr>
          <w:sz w:val="24"/>
          <w:lang w:val="hr-HR"/>
        </w:rPr>
        <w:t>mogu</w:t>
      </w:r>
      <w:r w:rsidRPr="001B09D8">
        <w:rPr>
          <w:sz w:val="24"/>
          <w:lang w:val="hr-HR"/>
        </w:rPr>
        <w:t xml:space="preserve"> dugoročno zadužiti (uzimanjem kredita i davanjem jamstva/suglasnosti) samo za investiciju koja se financira iz njezina proračuna, a koju potvrdi njezino predstavničko tijelo, uz prethodno dobivenu suglasnost Vlade RH. Pritom, njena ukupna obveza ne smije prelaziti 20% ostvarenih prihoda u godini koja prethodi godini u kojoj se zadužuje, umanjenih za prihode od pomoći i donacija te prihode ostvarene temeljem dodatnog udjela u porezu na dohodak i pomoći izravnanja za financiranje decentraliziranih funkcija. Kontrola fiskalnog ograničenja navedenih 20% ne odnosi se na projekte</w:t>
      </w:r>
      <w:r w:rsidR="005F310F" w:rsidRPr="005F310F">
        <w:t xml:space="preserve"> </w:t>
      </w:r>
      <w:r w:rsidR="005F310F" w:rsidRPr="005F310F">
        <w:rPr>
          <w:sz w:val="24"/>
          <w:lang w:val="hr-HR"/>
        </w:rPr>
        <w:t>jedinic</w:t>
      </w:r>
      <w:r w:rsidR="005F310F">
        <w:rPr>
          <w:sz w:val="24"/>
          <w:lang w:val="hr-HR"/>
        </w:rPr>
        <w:t>a</w:t>
      </w:r>
      <w:r w:rsidR="005F310F" w:rsidRPr="005F310F">
        <w:rPr>
          <w:sz w:val="24"/>
          <w:lang w:val="hr-HR"/>
        </w:rPr>
        <w:t xml:space="preserve"> lokalne i područne (regionalne) samouprave</w:t>
      </w:r>
      <w:r w:rsidRPr="001B09D8">
        <w:rPr>
          <w:sz w:val="24"/>
          <w:lang w:val="hr-HR"/>
        </w:rPr>
        <w:t xml:space="preserve"> koji se sufinanciraju iz sredstava EU. U navedenim slučajevima nije potrebna suglasnost Vlade RH za zaduženje, već samo suglasnost ministra financija. Međutim, budući da se značajno povećava udio zaduživanja za sufinanciranje projekata iz sredstava EU u odnosu na prihode pojedinih </w:t>
      </w:r>
      <w:r w:rsidR="005F310F" w:rsidRPr="005F310F">
        <w:rPr>
          <w:sz w:val="24"/>
          <w:lang w:val="hr-HR"/>
        </w:rPr>
        <w:t>jedinic</w:t>
      </w:r>
      <w:r w:rsidR="005F310F">
        <w:rPr>
          <w:sz w:val="24"/>
          <w:lang w:val="hr-HR"/>
        </w:rPr>
        <w:t>a</w:t>
      </w:r>
      <w:r w:rsidR="005F310F" w:rsidRPr="005F310F">
        <w:rPr>
          <w:sz w:val="24"/>
          <w:lang w:val="hr-HR"/>
        </w:rPr>
        <w:t xml:space="preserve"> lokalne i područne (regionalne) samouprave</w:t>
      </w:r>
      <w:r w:rsidRPr="001B09D8">
        <w:rPr>
          <w:sz w:val="24"/>
          <w:lang w:val="hr-HR"/>
        </w:rPr>
        <w:t xml:space="preserve">, potrebno je razmotriti uvođenja ograničenja u odnosu na prihode jedinice. Pri tome treba voditi računa da novi mehanizmi ne uspore ugovaranje i </w:t>
      </w:r>
      <w:r w:rsidRPr="001B09D8">
        <w:rPr>
          <w:sz w:val="24"/>
          <w:lang w:val="hr-HR"/>
        </w:rPr>
        <w:lastRenderedPageBreak/>
        <w:t xml:space="preserve">provedbu EU projekata. Propisat će se i situacije u kojima nije potrebna ponovna suglasnost Vlade RH ako se promjene uvjeti kredita ili zajma tako da su povoljniji odnosno da smanjuju teret zaduženja za </w:t>
      </w:r>
      <w:r w:rsidR="005F310F" w:rsidRPr="005F310F">
        <w:rPr>
          <w:sz w:val="24"/>
          <w:lang w:val="hr-HR"/>
        </w:rPr>
        <w:t>jedinic</w:t>
      </w:r>
      <w:r w:rsidR="005F310F">
        <w:rPr>
          <w:sz w:val="24"/>
          <w:lang w:val="hr-HR"/>
        </w:rPr>
        <w:t>u</w:t>
      </w:r>
      <w:r w:rsidR="005F310F" w:rsidRPr="005F310F">
        <w:rPr>
          <w:sz w:val="24"/>
          <w:lang w:val="hr-HR"/>
        </w:rPr>
        <w:t xml:space="preserve"> lokalne i područne (regionalne) samouprave</w:t>
      </w:r>
      <w:r w:rsidRPr="001B09D8">
        <w:rPr>
          <w:sz w:val="24"/>
          <w:lang w:val="hr-HR"/>
        </w:rPr>
        <w:t>.</w:t>
      </w:r>
    </w:p>
    <w:p w14:paraId="7D34765C" w14:textId="77777777" w:rsidR="001B09D8" w:rsidRDefault="000D7617" w:rsidP="00DE2422">
      <w:pPr>
        <w:spacing w:before="240" w:line="276" w:lineRule="auto"/>
        <w:jc w:val="both"/>
        <w:rPr>
          <w:sz w:val="24"/>
          <w:lang w:val="hr-HR"/>
        </w:rPr>
      </w:pPr>
      <w:r w:rsidRPr="000D7617">
        <w:rPr>
          <w:sz w:val="24"/>
          <w:lang w:val="hr-HR"/>
        </w:rPr>
        <w:t>Poseban naglasak</w:t>
      </w:r>
      <w:r>
        <w:rPr>
          <w:sz w:val="24"/>
          <w:lang w:val="hr-HR"/>
        </w:rPr>
        <w:t xml:space="preserve"> u novom Zakonu</w:t>
      </w:r>
      <w:r w:rsidRPr="000D7617">
        <w:rPr>
          <w:sz w:val="24"/>
          <w:lang w:val="hr-HR"/>
        </w:rPr>
        <w:t xml:space="preserve"> bit će stavljen </w:t>
      </w:r>
      <w:r>
        <w:rPr>
          <w:sz w:val="24"/>
          <w:lang w:val="hr-HR"/>
        </w:rPr>
        <w:t xml:space="preserve">i </w:t>
      </w:r>
      <w:r w:rsidRPr="000D7617">
        <w:rPr>
          <w:sz w:val="24"/>
          <w:lang w:val="hr-HR"/>
        </w:rPr>
        <w:t>na odredbe koje se odnose na državna jamstva. Naime, važeći zakonodavni okvir temelji se na godišnjim zakonima o izvršavanju državnog proračuna, odnosno na pojedinačnim odlukama o davanju državnih jamstava, kao i na ugovorima koji se sklapaju na temelju takvih odluka Vlade RH, a kojima se utvrđuju prava i obveze svih dionika ovog postupka. U novom Zakonu objedinit će se i odredbe o državnim jamstvima, koje su sada sadržane u različitim propisima i aktima, što će pridonijeti jasnijem uređenju navedene tematike te će se unaprijediti sustav njihova praćenja.</w:t>
      </w:r>
    </w:p>
    <w:p w14:paraId="60ADAEBE" w14:textId="77777777" w:rsidR="00F924DA" w:rsidRDefault="00F924DA" w:rsidP="00905BC0">
      <w:pPr>
        <w:spacing w:before="240" w:line="276" w:lineRule="auto"/>
        <w:rPr>
          <w:b/>
          <w:highlight w:val="yellow"/>
          <w:lang w:val="hr-HR"/>
        </w:rPr>
      </w:pPr>
    </w:p>
    <w:p w14:paraId="02158AAA" w14:textId="77777777" w:rsidR="008B368B" w:rsidRPr="00025326" w:rsidRDefault="008B368B" w:rsidP="00905BC0">
      <w:pPr>
        <w:spacing w:before="240" w:line="276" w:lineRule="auto"/>
        <w:rPr>
          <w:b/>
          <w:highlight w:val="yellow"/>
          <w:lang w:val="hr-HR"/>
        </w:rPr>
      </w:pPr>
    </w:p>
    <w:p w14:paraId="0F7554DB" w14:textId="77777777" w:rsidR="008341DF" w:rsidRPr="00F404FB" w:rsidRDefault="007F29C5" w:rsidP="00905BC0">
      <w:pPr>
        <w:pStyle w:val="Heading2"/>
        <w:numPr>
          <w:ilvl w:val="1"/>
          <w:numId w:val="1"/>
        </w:numPr>
        <w:spacing w:before="240" w:line="276" w:lineRule="auto"/>
        <w:rPr>
          <w:lang w:val="hr-HR"/>
        </w:rPr>
      </w:pPr>
      <w:bookmarkStart w:id="39" w:name="_Toc10032435"/>
      <w:r w:rsidRPr="00F404FB">
        <w:rPr>
          <w:lang w:val="hr-HR"/>
        </w:rPr>
        <w:t xml:space="preserve">Ublažavanje </w:t>
      </w:r>
      <w:r w:rsidR="002A2D31" w:rsidRPr="00F404FB">
        <w:rPr>
          <w:lang w:val="hr-HR"/>
        </w:rPr>
        <w:t>rizika refinanciranja i smanjenja udjela kratkoročnog duga u ukupnom javnom dugu</w:t>
      </w:r>
      <w:bookmarkEnd w:id="39"/>
    </w:p>
    <w:p w14:paraId="234518C6" w14:textId="77777777" w:rsidR="00DF2425" w:rsidRPr="00F23253" w:rsidRDefault="00DF2425" w:rsidP="00F23253">
      <w:pPr>
        <w:spacing w:line="276" w:lineRule="auto"/>
        <w:rPr>
          <w:sz w:val="24"/>
          <w:highlight w:val="yellow"/>
          <w:lang w:val="hr-HR"/>
        </w:rPr>
      </w:pPr>
    </w:p>
    <w:p w14:paraId="2CD42BCA" w14:textId="745592A7" w:rsidR="009F6847" w:rsidRPr="00DE68C2" w:rsidRDefault="00DF2425" w:rsidP="009F6847">
      <w:pPr>
        <w:spacing w:after="200" w:line="276" w:lineRule="auto"/>
        <w:jc w:val="both"/>
        <w:rPr>
          <w:sz w:val="24"/>
          <w:lang w:val="hr-HR"/>
        </w:rPr>
      </w:pPr>
      <w:r w:rsidRPr="004F554E">
        <w:rPr>
          <w:sz w:val="24"/>
          <w:lang w:val="hr-HR"/>
        </w:rPr>
        <w:t xml:space="preserve">Postojeća razina javnog duga i utvrđena struktura godišnjih otplata glavnica generiraju potrebu </w:t>
      </w:r>
      <w:r w:rsidR="00BD018D" w:rsidRPr="004F554E">
        <w:rPr>
          <w:sz w:val="24"/>
          <w:lang w:val="hr-HR"/>
        </w:rPr>
        <w:t>zna</w:t>
      </w:r>
      <w:r w:rsidR="004F554E" w:rsidRPr="004F554E">
        <w:rPr>
          <w:sz w:val="24"/>
          <w:lang w:val="hr-HR"/>
        </w:rPr>
        <w:t>čaj</w:t>
      </w:r>
      <w:r w:rsidR="00BD018D" w:rsidRPr="004F554E">
        <w:rPr>
          <w:sz w:val="24"/>
          <w:lang w:val="hr-HR"/>
        </w:rPr>
        <w:t xml:space="preserve">nog </w:t>
      </w:r>
      <w:r w:rsidRPr="004F554E">
        <w:rPr>
          <w:sz w:val="24"/>
          <w:lang w:val="hr-HR"/>
        </w:rPr>
        <w:t>refinanciranj</w:t>
      </w:r>
      <w:r w:rsidR="00092382" w:rsidRPr="004F554E">
        <w:rPr>
          <w:sz w:val="24"/>
          <w:lang w:val="hr-HR"/>
        </w:rPr>
        <w:t xml:space="preserve">a </w:t>
      </w:r>
      <w:r w:rsidR="00BD018D" w:rsidRPr="004F554E">
        <w:rPr>
          <w:sz w:val="24"/>
          <w:lang w:val="hr-HR"/>
        </w:rPr>
        <w:t>u godišnjim iznosima.</w:t>
      </w:r>
      <w:r w:rsidR="00CD420E" w:rsidRPr="004F554E">
        <w:rPr>
          <w:sz w:val="24"/>
          <w:lang w:val="hr-HR"/>
        </w:rPr>
        <w:t xml:space="preserve"> </w:t>
      </w:r>
      <w:r w:rsidR="00186367" w:rsidRPr="004F554E">
        <w:rPr>
          <w:sz w:val="24"/>
          <w:lang w:val="hr-HR"/>
        </w:rPr>
        <w:t>R</w:t>
      </w:r>
      <w:r w:rsidR="00CD420E" w:rsidRPr="004F554E">
        <w:rPr>
          <w:sz w:val="24"/>
          <w:lang w:val="hr-HR"/>
        </w:rPr>
        <w:t>elativno povoljni uvje</w:t>
      </w:r>
      <w:r w:rsidR="00186367" w:rsidRPr="004F554E">
        <w:rPr>
          <w:sz w:val="24"/>
          <w:lang w:val="hr-HR"/>
        </w:rPr>
        <w:t>ti na financijskim tržištima dali su</w:t>
      </w:r>
      <w:r w:rsidR="00CD420E" w:rsidRPr="004F554E">
        <w:rPr>
          <w:sz w:val="24"/>
          <w:lang w:val="hr-HR"/>
        </w:rPr>
        <w:t xml:space="preserve"> mogućnost produženja </w:t>
      </w:r>
      <w:r w:rsidR="0087786D" w:rsidRPr="004F554E">
        <w:rPr>
          <w:sz w:val="24"/>
          <w:lang w:val="hr-HR"/>
        </w:rPr>
        <w:t>prosječne</w:t>
      </w:r>
      <w:r w:rsidR="00CD420E" w:rsidRPr="004F554E">
        <w:rPr>
          <w:sz w:val="24"/>
          <w:lang w:val="hr-HR"/>
        </w:rPr>
        <w:t xml:space="preserve"> ročnosti duga te uravnoteženja profila </w:t>
      </w:r>
      <w:r w:rsidR="00186367" w:rsidRPr="004F554E">
        <w:rPr>
          <w:sz w:val="24"/>
          <w:lang w:val="hr-HR"/>
        </w:rPr>
        <w:t>njegova dospijeća. Istovremeno se postiglo smanjenje udjela kratkoročnog duga u ukupnom</w:t>
      </w:r>
      <w:r w:rsidR="00DE68C2">
        <w:rPr>
          <w:sz w:val="24"/>
          <w:lang w:val="hr-HR"/>
        </w:rPr>
        <w:t xml:space="preserve"> </w:t>
      </w:r>
      <w:r w:rsidR="00DE68C2" w:rsidRPr="00DE68C2">
        <w:rPr>
          <w:sz w:val="24"/>
          <w:lang w:val="hr-HR"/>
        </w:rPr>
        <w:t>javnom</w:t>
      </w:r>
      <w:r w:rsidR="00186367" w:rsidRPr="00DE68C2">
        <w:rPr>
          <w:sz w:val="24"/>
          <w:lang w:val="hr-HR"/>
        </w:rPr>
        <w:t xml:space="preserve"> dugu s </w:t>
      </w:r>
      <w:r w:rsidR="00DE68C2" w:rsidRPr="00DE68C2">
        <w:rPr>
          <w:sz w:val="24"/>
          <w:lang w:val="hr-HR"/>
        </w:rPr>
        <w:t xml:space="preserve">4,5% koliko je iznosio krajem 2017. </w:t>
      </w:r>
      <w:r w:rsidR="00186367" w:rsidRPr="00DE68C2">
        <w:rPr>
          <w:sz w:val="24"/>
          <w:lang w:val="hr-HR"/>
        </w:rPr>
        <w:t xml:space="preserve">na </w:t>
      </w:r>
      <w:r w:rsidR="00DE68C2" w:rsidRPr="00DE68C2">
        <w:rPr>
          <w:sz w:val="24"/>
          <w:lang w:val="hr-HR"/>
        </w:rPr>
        <w:t>4,2%</w:t>
      </w:r>
      <w:r w:rsidR="00186367" w:rsidRPr="00DE68C2">
        <w:rPr>
          <w:sz w:val="24"/>
          <w:lang w:val="hr-HR"/>
        </w:rPr>
        <w:t xml:space="preserve"> </w:t>
      </w:r>
      <w:r w:rsidR="00DE68C2" w:rsidRPr="00DE68C2">
        <w:rPr>
          <w:sz w:val="24"/>
          <w:lang w:val="hr-HR"/>
        </w:rPr>
        <w:t>krajem 2018</w:t>
      </w:r>
      <w:r w:rsidR="00186367" w:rsidRPr="00DE68C2">
        <w:rPr>
          <w:sz w:val="24"/>
          <w:lang w:val="hr-HR"/>
        </w:rPr>
        <w:t>.</w:t>
      </w:r>
      <w:r w:rsidR="00E95A5B" w:rsidRPr="00DE68C2">
        <w:rPr>
          <w:sz w:val="24"/>
          <w:lang w:val="hr-HR"/>
        </w:rPr>
        <w:t xml:space="preserve"> godine.</w:t>
      </w:r>
      <w:r w:rsidR="00581344">
        <w:rPr>
          <w:sz w:val="24"/>
          <w:lang w:val="hr-HR"/>
        </w:rPr>
        <w:t xml:space="preserve"> U narednom srednjoročnom razdoblju udio kratkoročnog duga u ukupnom dugu državnog proračuna kretat će se na razini od 11,8%.</w:t>
      </w:r>
    </w:p>
    <w:p w14:paraId="62A09F46" w14:textId="77777777" w:rsidR="00015520" w:rsidRDefault="00015520" w:rsidP="00F924DA">
      <w:pPr>
        <w:spacing w:before="240" w:line="276" w:lineRule="auto"/>
        <w:rPr>
          <w:b/>
          <w:lang w:val="hr-HR"/>
        </w:rPr>
      </w:pPr>
    </w:p>
    <w:p w14:paraId="470B37CA" w14:textId="77777777" w:rsidR="008B368B" w:rsidRPr="00DE68C2" w:rsidRDefault="008B368B" w:rsidP="00F924DA">
      <w:pPr>
        <w:spacing w:before="240" w:line="276" w:lineRule="auto"/>
        <w:rPr>
          <w:b/>
          <w:lang w:val="hr-HR"/>
        </w:rPr>
      </w:pPr>
    </w:p>
    <w:p w14:paraId="146827C9" w14:textId="77777777" w:rsidR="00B3314F" w:rsidRPr="00F404FB" w:rsidRDefault="00DF2425" w:rsidP="00F924DA">
      <w:pPr>
        <w:pStyle w:val="Heading2"/>
        <w:numPr>
          <w:ilvl w:val="1"/>
          <w:numId w:val="1"/>
        </w:numPr>
        <w:spacing w:before="240" w:line="276" w:lineRule="auto"/>
        <w:rPr>
          <w:lang w:val="hr-HR"/>
        </w:rPr>
      </w:pPr>
      <w:r w:rsidRPr="00F404FB">
        <w:rPr>
          <w:sz w:val="24"/>
          <w:lang w:val="hr-HR"/>
        </w:rPr>
        <w:t xml:space="preserve"> </w:t>
      </w:r>
      <w:bookmarkStart w:id="40" w:name="_Toc10032436"/>
      <w:r w:rsidR="00B3314F" w:rsidRPr="00F404FB">
        <w:rPr>
          <w:lang w:val="hr-HR"/>
        </w:rPr>
        <w:t>Ublažavanje valutnog rizika javnog duga</w:t>
      </w:r>
      <w:bookmarkEnd w:id="40"/>
    </w:p>
    <w:p w14:paraId="4579DEF6" w14:textId="77777777" w:rsidR="007F181C" w:rsidRPr="007F181C" w:rsidRDefault="007F181C" w:rsidP="007F181C">
      <w:pPr>
        <w:spacing w:line="276" w:lineRule="auto"/>
        <w:rPr>
          <w:sz w:val="24"/>
          <w:highlight w:val="yellow"/>
          <w:lang w:val="hr-HR"/>
        </w:rPr>
      </w:pPr>
    </w:p>
    <w:p w14:paraId="7ACB16F8" w14:textId="6F973C2F" w:rsidR="00F23253" w:rsidRPr="00F404FB" w:rsidRDefault="007F181C" w:rsidP="007F181C">
      <w:pPr>
        <w:spacing w:after="200" w:line="276" w:lineRule="auto"/>
        <w:jc w:val="both"/>
        <w:rPr>
          <w:sz w:val="24"/>
          <w:lang w:val="hr-HR"/>
        </w:rPr>
      </w:pPr>
      <w:r w:rsidRPr="007F181C">
        <w:rPr>
          <w:sz w:val="24"/>
          <w:lang w:val="hr-HR"/>
        </w:rPr>
        <w:t xml:space="preserve">Iako je u strukturi ukupnog javnog duga većinska tuzemna komponenta (63,3%), prevladavajući dio duga denominiran je ili indeksiran u eurima (71,3%). Ovaj valutni rizik nije moguće otkloniti u kraćem roku, ali uvjeti na domaćem tržištu kapitala omogućuju njegovo djelomično ublažavanje budući da su kunski izvori po svojem opsegu, dostupnoj ročnosti i cijeni kroz protekle tri godine pružali adekvatnu alternativu valutno denominiranima. Predviđa se daljnji rast udjela kunske komponente u ukupnom dugu kroz primarne emisije na domaćem tržištu, kao i kroz mogućnosti zamjene dijela postojećih valutnih instrumenata u kunske u slučajevima takvih preferencija financijskih institucija. Tako se predviđa i </w:t>
      </w:r>
      <w:r w:rsidR="00E70C83">
        <w:rPr>
          <w:sz w:val="24"/>
          <w:lang w:val="hr-HR"/>
        </w:rPr>
        <w:t>povećanje udjela</w:t>
      </w:r>
      <w:r w:rsidRPr="007F181C">
        <w:rPr>
          <w:sz w:val="24"/>
          <w:lang w:val="hr-HR"/>
        </w:rPr>
        <w:t xml:space="preserve"> kunske komponente duga </w:t>
      </w:r>
      <w:r w:rsidR="00E70C83" w:rsidRPr="007F181C">
        <w:rPr>
          <w:sz w:val="24"/>
          <w:lang w:val="hr-HR"/>
        </w:rPr>
        <w:t xml:space="preserve">državnog </w:t>
      </w:r>
      <w:r w:rsidR="00E70C83">
        <w:rPr>
          <w:sz w:val="24"/>
          <w:lang w:val="hr-HR"/>
        </w:rPr>
        <w:t xml:space="preserve">proračuna </w:t>
      </w:r>
      <w:r w:rsidRPr="007F181C">
        <w:rPr>
          <w:sz w:val="24"/>
          <w:lang w:val="hr-HR"/>
        </w:rPr>
        <w:t>i to s 36,9% u 2019. na 37,7% u 2021. godini.</w:t>
      </w:r>
    </w:p>
    <w:p w14:paraId="0D9639A0" w14:textId="72E895FA" w:rsidR="002A2D31" w:rsidRPr="00F404FB" w:rsidRDefault="00181E47" w:rsidP="00450F0D">
      <w:pPr>
        <w:pStyle w:val="Heading2"/>
        <w:numPr>
          <w:ilvl w:val="1"/>
          <w:numId w:val="1"/>
        </w:numPr>
        <w:spacing w:before="240" w:line="276" w:lineRule="auto"/>
        <w:rPr>
          <w:lang w:val="hr-HR"/>
        </w:rPr>
      </w:pPr>
      <w:bookmarkStart w:id="41" w:name="_Toc10032437"/>
      <w:r w:rsidRPr="00F404FB">
        <w:rPr>
          <w:lang w:val="hr-HR"/>
        </w:rPr>
        <w:lastRenderedPageBreak/>
        <w:t xml:space="preserve">Ublažavanje </w:t>
      </w:r>
      <w:r w:rsidR="002A2D31" w:rsidRPr="00F404FB">
        <w:rPr>
          <w:lang w:val="hr-HR"/>
        </w:rPr>
        <w:t>kamatnog rizika javnog duga</w:t>
      </w:r>
      <w:bookmarkEnd w:id="41"/>
    </w:p>
    <w:p w14:paraId="572D642C" w14:textId="77777777" w:rsidR="0035474D" w:rsidRPr="00F404FB" w:rsidRDefault="0035474D" w:rsidP="00F23253">
      <w:pPr>
        <w:jc w:val="both"/>
        <w:rPr>
          <w:sz w:val="24"/>
          <w:lang w:val="hr-HR"/>
        </w:rPr>
      </w:pPr>
    </w:p>
    <w:p w14:paraId="0368DCE8" w14:textId="17ECD5B5" w:rsidR="0087786D" w:rsidRDefault="0087786D" w:rsidP="00F23253">
      <w:pPr>
        <w:spacing w:after="200" w:line="276" w:lineRule="auto"/>
        <w:jc w:val="both"/>
        <w:rPr>
          <w:sz w:val="24"/>
          <w:lang w:val="hr-HR"/>
        </w:rPr>
      </w:pPr>
      <w:r w:rsidRPr="00F23253">
        <w:rPr>
          <w:sz w:val="24"/>
          <w:lang w:val="hr-HR"/>
        </w:rPr>
        <w:t xml:space="preserve">S obzirom na visoku ukupnu razinu zaduženosti dugoročno povećanje referentnih tržišnih kamatnih stopa predstavljalo bi znatnu prijetnju fiskalnoj održivosti i posljedično generiralo znatan porast javnog duga. U kratkom roku ova prijetnja je ublažena postojećom strukturom kamatnih </w:t>
      </w:r>
      <w:r w:rsidRPr="00D93679">
        <w:rPr>
          <w:sz w:val="24"/>
          <w:lang w:val="hr-HR"/>
        </w:rPr>
        <w:t xml:space="preserve">stopa u kojoj na razini duga državnog proračuna </w:t>
      </w:r>
      <w:r w:rsidR="005742F5" w:rsidRPr="00D93679">
        <w:rPr>
          <w:sz w:val="24"/>
          <w:lang w:val="hr-HR"/>
        </w:rPr>
        <w:t>89</w:t>
      </w:r>
      <w:r w:rsidR="00D93679" w:rsidRPr="00D93679">
        <w:rPr>
          <w:sz w:val="24"/>
          <w:lang w:val="hr-HR"/>
        </w:rPr>
        <w:t>,1</w:t>
      </w:r>
      <w:r w:rsidRPr="00D93679">
        <w:rPr>
          <w:sz w:val="24"/>
          <w:lang w:val="hr-HR"/>
        </w:rPr>
        <w:t xml:space="preserve">% dugoročnih obveza čine instrumenti s fiksnom kamatnom stopom. </w:t>
      </w:r>
      <w:r w:rsidRPr="00E0631C">
        <w:rPr>
          <w:sz w:val="24"/>
          <w:lang w:val="hr-HR"/>
        </w:rPr>
        <w:t xml:space="preserve">Također, u kratkom roku, trenutni tržišni uvjeti sugeriraju refinanciranje dospijeća postojećih obveza uz nižu nominalnu kamatnu stopu u odnosu na ugovornu stopu obveza u dospijeću. U srednjoročnom razdoblju ovaj se rizik može ublažiti dosljednom provedbom </w:t>
      </w:r>
      <w:r w:rsidR="00E0631C" w:rsidRPr="00E0631C">
        <w:rPr>
          <w:sz w:val="24"/>
          <w:lang w:val="hr-HR"/>
        </w:rPr>
        <w:t xml:space="preserve">odgovorne i </w:t>
      </w:r>
      <w:r w:rsidRPr="00E0631C">
        <w:rPr>
          <w:sz w:val="24"/>
          <w:lang w:val="hr-HR"/>
        </w:rPr>
        <w:t xml:space="preserve">održive fiskalne politike </w:t>
      </w:r>
      <w:r w:rsidR="00E0631C" w:rsidRPr="00E0631C">
        <w:rPr>
          <w:sz w:val="24"/>
          <w:lang w:val="hr-HR"/>
        </w:rPr>
        <w:t xml:space="preserve">kao </w:t>
      </w:r>
      <w:r w:rsidRPr="00E0631C">
        <w:rPr>
          <w:sz w:val="24"/>
          <w:lang w:val="hr-HR"/>
        </w:rPr>
        <w:t xml:space="preserve">i </w:t>
      </w:r>
      <w:r w:rsidR="00E0631C" w:rsidRPr="00E0631C">
        <w:rPr>
          <w:sz w:val="24"/>
          <w:lang w:val="hr-HR"/>
        </w:rPr>
        <w:t xml:space="preserve">daljnjim </w:t>
      </w:r>
      <w:r w:rsidRPr="00E0631C">
        <w:rPr>
          <w:sz w:val="24"/>
          <w:lang w:val="hr-HR"/>
        </w:rPr>
        <w:t>unapređenjem kreditnog rejtinga države te time i smanjenjem postojeće premije rizika.</w:t>
      </w:r>
      <w:r w:rsidR="006A47DA">
        <w:rPr>
          <w:sz w:val="24"/>
          <w:lang w:val="hr-HR"/>
        </w:rPr>
        <w:t xml:space="preserve"> Stoga </w:t>
      </w:r>
      <w:r w:rsidR="00BB65F3">
        <w:rPr>
          <w:sz w:val="24"/>
          <w:lang w:val="hr-HR"/>
        </w:rPr>
        <w:t xml:space="preserve">je projicirano kretanje </w:t>
      </w:r>
      <w:r w:rsidR="00E70C83">
        <w:rPr>
          <w:sz w:val="24"/>
          <w:lang w:val="hr-HR"/>
        </w:rPr>
        <w:t xml:space="preserve">udjela </w:t>
      </w:r>
      <w:r w:rsidR="006A47DA">
        <w:rPr>
          <w:sz w:val="24"/>
          <w:lang w:val="hr-HR"/>
        </w:rPr>
        <w:t>državnog duga s fiksnom kamatnom stopom prema razini od 88,4% do kraja 2021. godine.</w:t>
      </w:r>
    </w:p>
    <w:p w14:paraId="68EF597D" w14:textId="77777777" w:rsidR="008B368B" w:rsidRDefault="008B368B" w:rsidP="00F23253">
      <w:pPr>
        <w:spacing w:after="200" w:line="276" w:lineRule="auto"/>
        <w:jc w:val="both"/>
        <w:rPr>
          <w:sz w:val="24"/>
          <w:lang w:val="hr-HR"/>
        </w:rPr>
      </w:pPr>
    </w:p>
    <w:p w14:paraId="41490CDE" w14:textId="77777777" w:rsidR="008B368B" w:rsidRPr="00E0631C" w:rsidRDefault="008B368B" w:rsidP="00F23253">
      <w:pPr>
        <w:spacing w:after="200" w:line="276" w:lineRule="auto"/>
        <w:jc w:val="both"/>
        <w:rPr>
          <w:sz w:val="24"/>
          <w:lang w:val="hr-HR"/>
        </w:rPr>
      </w:pPr>
    </w:p>
    <w:p w14:paraId="2A7F6F2D" w14:textId="77777777" w:rsidR="004E26D1" w:rsidRPr="00150899" w:rsidRDefault="00CF4697" w:rsidP="00450F0D">
      <w:pPr>
        <w:pStyle w:val="Heading2"/>
        <w:numPr>
          <w:ilvl w:val="1"/>
          <w:numId w:val="1"/>
        </w:numPr>
        <w:spacing w:before="240" w:line="276" w:lineRule="auto"/>
        <w:rPr>
          <w:lang w:val="hr-HR"/>
        </w:rPr>
      </w:pPr>
      <w:bookmarkStart w:id="42" w:name="_Toc10032438"/>
      <w:r w:rsidRPr="00150899">
        <w:rPr>
          <w:lang w:val="hr-HR"/>
        </w:rPr>
        <w:t xml:space="preserve">Povećanje transparentnosti </w:t>
      </w:r>
      <w:r w:rsidR="00C36F93" w:rsidRPr="00150899">
        <w:rPr>
          <w:lang w:val="hr-HR"/>
        </w:rPr>
        <w:t xml:space="preserve">javnog duga i </w:t>
      </w:r>
      <w:r w:rsidRPr="00150899">
        <w:rPr>
          <w:lang w:val="hr-HR"/>
        </w:rPr>
        <w:t>zaduživanja</w:t>
      </w:r>
      <w:bookmarkEnd w:id="42"/>
    </w:p>
    <w:p w14:paraId="75D8D29B" w14:textId="77777777" w:rsidR="0087786D" w:rsidRPr="00150899" w:rsidRDefault="0087786D" w:rsidP="00DF23F9">
      <w:pPr>
        <w:spacing w:before="240" w:line="276" w:lineRule="auto"/>
        <w:jc w:val="both"/>
        <w:rPr>
          <w:sz w:val="24"/>
          <w:lang w:val="hr-HR"/>
        </w:rPr>
      </w:pPr>
      <w:r w:rsidRPr="00150899">
        <w:rPr>
          <w:sz w:val="24"/>
          <w:lang w:val="hr-HR"/>
        </w:rPr>
        <w:t>Značajan naglasak i u ovoj trogodišnjoj Strategiji dan je povećanju transparentnosti javnog duga i zaduživanja koja se očituje kroz javno objavljene planove, uvjete i pravila zaduživanja. Stoga se, s ciljem što jasnijeg informiranja potencijalnih investitora i osiguranja bolje predvidljivosti zaduživanja, u Strategiji prikazuju:</w:t>
      </w:r>
    </w:p>
    <w:p w14:paraId="1A148C88" w14:textId="77777777" w:rsidR="0087786D" w:rsidRPr="00150899" w:rsidRDefault="0087786D" w:rsidP="00DF23F9">
      <w:pPr>
        <w:pStyle w:val="ListParagraph"/>
        <w:numPr>
          <w:ilvl w:val="0"/>
          <w:numId w:val="22"/>
        </w:numPr>
        <w:spacing w:line="276" w:lineRule="auto"/>
        <w:jc w:val="both"/>
        <w:rPr>
          <w:sz w:val="24"/>
          <w:lang w:val="hr-HR"/>
        </w:rPr>
      </w:pPr>
      <w:r w:rsidRPr="00150899">
        <w:rPr>
          <w:sz w:val="24"/>
          <w:lang w:val="hr-HR"/>
        </w:rPr>
        <w:t>projekcija plana zaduživanja državnog proračuna do 20</w:t>
      </w:r>
      <w:r w:rsidR="005742F5" w:rsidRPr="00150899">
        <w:rPr>
          <w:sz w:val="24"/>
          <w:lang w:val="hr-HR"/>
        </w:rPr>
        <w:t>2</w:t>
      </w:r>
      <w:r w:rsidR="0049708B" w:rsidRPr="00150899">
        <w:rPr>
          <w:sz w:val="24"/>
          <w:lang w:val="hr-HR"/>
        </w:rPr>
        <w:t>1</w:t>
      </w:r>
      <w:r w:rsidRPr="00150899">
        <w:rPr>
          <w:sz w:val="24"/>
          <w:lang w:val="hr-HR"/>
        </w:rPr>
        <w:t xml:space="preserve">. godine, </w:t>
      </w:r>
    </w:p>
    <w:p w14:paraId="215FF993" w14:textId="77777777" w:rsidR="0087786D" w:rsidRPr="00150899" w:rsidRDefault="0087786D" w:rsidP="0087786D">
      <w:pPr>
        <w:pStyle w:val="ListParagraph"/>
        <w:numPr>
          <w:ilvl w:val="0"/>
          <w:numId w:val="22"/>
        </w:numPr>
        <w:spacing w:before="240" w:line="276" w:lineRule="auto"/>
        <w:jc w:val="both"/>
        <w:rPr>
          <w:sz w:val="24"/>
          <w:lang w:val="hr-HR"/>
        </w:rPr>
      </w:pPr>
      <w:r w:rsidRPr="00150899">
        <w:rPr>
          <w:sz w:val="24"/>
          <w:lang w:val="hr-HR"/>
        </w:rPr>
        <w:t>kalendar izdavanja trezorskih zapisa u 201</w:t>
      </w:r>
      <w:r w:rsidR="00150899">
        <w:rPr>
          <w:sz w:val="24"/>
          <w:lang w:val="hr-HR"/>
        </w:rPr>
        <w:t>9</w:t>
      </w:r>
      <w:r w:rsidRPr="00150899">
        <w:rPr>
          <w:sz w:val="24"/>
          <w:lang w:val="hr-HR"/>
        </w:rPr>
        <w:t>. po datumima planiranih mjesečnih aukcija,</w:t>
      </w:r>
    </w:p>
    <w:p w14:paraId="79F650C5" w14:textId="77777777" w:rsidR="0087786D" w:rsidRPr="00150899" w:rsidRDefault="0087786D" w:rsidP="0087786D">
      <w:pPr>
        <w:pStyle w:val="ListParagraph"/>
        <w:numPr>
          <w:ilvl w:val="0"/>
          <w:numId w:val="22"/>
        </w:numPr>
        <w:spacing w:before="240" w:line="276" w:lineRule="auto"/>
        <w:jc w:val="both"/>
        <w:rPr>
          <w:sz w:val="24"/>
          <w:lang w:val="hr-HR"/>
        </w:rPr>
      </w:pPr>
      <w:r w:rsidRPr="00150899">
        <w:rPr>
          <w:sz w:val="24"/>
          <w:lang w:val="hr-HR"/>
        </w:rPr>
        <w:t>plan izdavanja obveznica u 201</w:t>
      </w:r>
      <w:r w:rsidR="00150899">
        <w:rPr>
          <w:sz w:val="24"/>
          <w:lang w:val="hr-HR"/>
        </w:rPr>
        <w:t>9</w:t>
      </w:r>
      <w:r w:rsidRPr="00150899">
        <w:rPr>
          <w:sz w:val="24"/>
          <w:lang w:val="hr-HR"/>
        </w:rPr>
        <w:t>. po tromjesečjima,</w:t>
      </w:r>
    </w:p>
    <w:p w14:paraId="798583A2" w14:textId="77777777" w:rsidR="0087786D" w:rsidRPr="00150899" w:rsidRDefault="0087786D" w:rsidP="0087786D">
      <w:pPr>
        <w:pStyle w:val="ListParagraph"/>
        <w:numPr>
          <w:ilvl w:val="0"/>
          <w:numId w:val="22"/>
        </w:numPr>
        <w:spacing w:before="240" w:line="276" w:lineRule="auto"/>
        <w:jc w:val="both"/>
        <w:rPr>
          <w:sz w:val="24"/>
          <w:lang w:val="hr-HR"/>
        </w:rPr>
      </w:pPr>
      <w:r w:rsidRPr="00150899">
        <w:rPr>
          <w:sz w:val="24"/>
          <w:lang w:val="hr-HR"/>
        </w:rPr>
        <w:t>projekcija otplata glavnice duga državnog proračuna za razdoblje 201</w:t>
      </w:r>
      <w:r w:rsidR="00150899">
        <w:rPr>
          <w:sz w:val="24"/>
          <w:lang w:val="hr-HR"/>
        </w:rPr>
        <w:t>9</w:t>
      </w:r>
      <w:r w:rsidRPr="00150899">
        <w:rPr>
          <w:sz w:val="24"/>
          <w:lang w:val="hr-HR"/>
        </w:rPr>
        <w:t>. - 20</w:t>
      </w:r>
      <w:r w:rsidR="00150899">
        <w:rPr>
          <w:sz w:val="24"/>
          <w:lang w:val="hr-HR"/>
        </w:rPr>
        <w:t>32</w:t>
      </w:r>
      <w:r w:rsidRPr="00150899">
        <w:rPr>
          <w:sz w:val="24"/>
          <w:lang w:val="hr-HR"/>
        </w:rPr>
        <w:t>.,</w:t>
      </w:r>
    </w:p>
    <w:p w14:paraId="1217D79D" w14:textId="77777777" w:rsidR="0087786D" w:rsidRPr="00150899" w:rsidRDefault="0087786D" w:rsidP="0087786D">
      <w:pPr>
        <w:pStyle w:val="ListParagraph"/>
        <w:numPr>
          <w:ilvl w:val="0"/>
          <w:numId w:val="22"/>
        </w:numPr>
        <w:spacing w:line="276" w:lineRule="auto"/>
        <w:rPr>
          <w:sz w:val="24"/>
          <w:lang w:val="hr-HR"/>
        </w:rPr>
      </w:pPr>
      <w:r w:rsidRPr="00150899">
        <w:rPr>
          <w:sz w:val="24"/>
          <w:lang w:val="hr-HR"/>
        </w:rPr>
        <w:t xml:space="preserve">projekcija otplata unutarnjeg duga i međunarodnih obveznica RH, </w:t>
      </w:r>
    </w:p>
    <w:p w14:paraId="37B75BF5" w14:textId="77777777" w:rsidR="0087786D" w:rsidRPr="00150899" w:rsidRDefault="0087786D" w:rsidP="0087786D">
      <w:pPr>
        <w:pStyle w:val="ListParagraph"/>
        <w:numPr>
          <w:ilvl w:val="0"/>
          <w:numId w:val="22"/>
        </w:numPr>
        <w:spacing w:before="240" w:line="276" w:lineRule="auto"/>
        <w:jc w:val="both"/>
        <w:rPr>
          <w:sz w:val="24"/>
          <w:lang w:val="hr-HR"/>
        </w:rPr>
      </w:pPr>
      <w:r w:rsidRPr="00150899">
        <w:rPr>
          <w:sz w:val="24"/>
          <w:lang w:val="hr-HR"/>
        </w:rPr>
        <w:t>prikaz aktivnih obveznica RH izdanih u razdoblju 2007. - 201</w:t>
      </w:r>
      <w:r w:rsidR="00150899">
        <w:rPr>
          <w:sz w:val="24"/>
          <w:lang w:val="hr-HR"/>
        </w:rPr>
        <w:t>9</w:t>
      </w:r>
      <w:r w:rsidRPr="00150899">
        <w:rPr>
          <w:sz w:val="24"/>
          <w:lang w:val="hr-HR"/>
        </w:rPr>
        <w:t>. s dospijećima u razdoblju 201</w:t>
      </w:r>
      <w:r w:rsidR="00150899">
        <w:rPr>
          <w:sz w:val="24"/>
          <w:lang w:val="hr-HR"/>
        </w:rPr>
        <w:t>9</w:t>
      </w:r>
      <w:r w:rsidRPr="00150899">
        <w:rPr>
          <w:sz w:val="24"/>
          <w:lang w:val="hr-HR"/>
        </w:rPr>
        <w:t>. - 20</w:t>
      </w:r>
      <w:r w:rsidR="005742F5" w:rsidRPr="00150899">
        <w:rPr>
          <w:sz w:val="24"/>
          <w:lang w:val="hr-HR"/>
        </w:rPr>
        <w:t>32</w:t>
      </w:r>
      <w:r w:rsidRPr="00150899">
        <w:rPr>
          <w:sz w:val="24"/>
          <w:lang w:val="hr-HR"/>
        </w:rPr>
        <w:t>.,</w:t>
      </w:r>
    </w:p>
    <w:p w14:paraId="104F8925" w14:textId="77777777" w:rsidR="0087786D" w:rsidRPr="00150899" w:rsidRDefault="0087786D" w:rsidP="0087786D">
      <w:pPr>
        <w:pStyle w:val="ListParagraph"/>
        <w:numPr>
          <w:ilvl w:val="0"/>
          <w:numId w:val="22"/>
        </w:numPr>
        <w:spacing w:before="240" w:line="276" w:lineRule="auto"/>
        <w:jc w:val="both"/>
        <w:rPr>
          <w:sz w:val="24"/>
          <w:lang w:val="hr-HR"/>
        </w:rPr>
      </w:pPr>
      <w:r w:rsidRPr="00150899">
        <w:rPr>
          <w:sz w:val="24"/>
          <w:lang w:val="hr-HR"/>
        </w:rPr>
        <w:t>kretanje premije rizika za RH u razdoblju 2013. - 201</w:t>
      </w:r>
      <w:r w:rsidR="00150899">
        <w:rPr>
          <w:sz w:val="24"/>
          <w:lang w:val="hr-HR"/>
        </w:rPr>
        <w:t>9</w:t>
      </w:r>
      <w:r w:rsidRPr="00150899">
        <w:rPr>
          <w:sz w:val="24"/>
          <w:lang w:val="hr-HR"/>
        </w:rPr>
        <w:t>. usporedno s odabranim državama EU (</w:t>
      </w:r>
      <w:r w:rsidRPr="00150899">
        <w:rPr>
          <w:i/>
          <w:sz w:val="24"/>
          <w:lang w:val="hr-HR"/>
        </w:rPr>
        <w:t>Credit Default Swap</w:t>
      </w:r>
      <w:r w:rsidRPr="00150899">
        <w:rPr>
          <w:sz w:val="24"/>
          <w:lang w:val="hr-HR"/>
        </w:rPr>
        <w:t xml:space="preserve"> - CDS).</w:t>
      </w:r>
    </w:p>
    <w:p w14:paraId="564CFA53" w14:textId="77777777" w:rsidR="00A9266A" w:rsidRDefault="00A9266A" w:rsidP="00A9266A">
      <w:pPr>
        <w:spacing w:before="240" w:line="276" w:lineRule="auto"/>
        <w:jc w:val="both"/>
        <w:rPr>
          <w:sz w:val="24"/>
          <w:lang w:val="hr-HR"/>
        </w:rPr>
      </w:pPr>
      <w:r w:rsidRPr="00F404FB">
        <w:rPr>
          <w:sz w:val="24"/>
          <w:lang w:val="hr-HR"/>
        </w:rPr>
        <w:t xml:space="preserve">U </w:t>
      </w:r>
      <w:r w:rsidR="0059284E">
        <w:rPr>
          <w:sz w:val="24"/>
          <w:lang w:val="hr-HR"/>
        </w:rPr>
        <w:t>T</w:t>
      </w:r>
      <w:r w:rsidRPr="00F404FB">
        <w:rPr>
          <w:sz w:val="24"/>
          <w:lang w:val="hr-HR"/>
        </w:rPr>
        <w:t>ablici 7</w:t>
      </w:r>
      <w:r w:rsidR="0059284E">
        <w:rPr>
          <w:sz w:val="24"/>
          <w:lang w:val="hr-HR"/>
        </w:rPr>
        <w:t>.</w:t>
      </w:r>
      <w:r w:rsidRPr="00F404FB">
        <w:rPr>
          <w:sz w:val="24"/>
          <w:lang w:val="hr-HR"/>
        </w:rPr>
        <w:t xml:space="preserve"> Račun</w:t>
      </w:r>
      <w:r w:rsidRPr="00A9266A">
        <w:rPr>
          <w:sz w:val="24"/>
          <w:lang w:val="hr-HR"/>
        </w:rPr>
        <w:t xml:space="preserve"> financiranja državnog proračuna – obveze i izvori dan je prikaz ostvarenja računa financiranja za 2017. i 2018. godinu te plan za 2019. i projekcije za 2020. i 2021.</w:t>
      </w:r>
    </w:p>
    <w:p w14:paraId="622C3098" w14:textId="77777777" w:rsidR="008B368B" w:rsidRDefault="008B368B" w:rsidP="00A9266A">
      <w:pPr>
        <w:spacing w:before="240" w:line="276" w:lineRule="auto"/>
        <w:jc w:val="both"/>
        <w:rPr>
          <w:sz w:val="24"/>
          <w:lang w:val="hr-HR"/>
        </w:rPr>
      </w:pPr>
    </w:p>
    <w:p w14:paraId="5FCE98B2" w14:textId="77777777" w:rsidR="007F181C" w:rsidRDefault="007F181C" w:rsidP="00A9266A">
      <w:pPr>
        <w:spacing w:before="240" w:line="276" w:lineRule="auto"/>
        <w:jc w:val="both"/>
        <w:rPr>
          <w:sz w:val="24"/>
          <w:lang w:val="hr-HR"/>
        </w:rPr>
      </w:pPr>
    </w:p>
    <w:p w14:paraId="13C4CEB1" w14:textId="77777777" w:rsidR="007F181C" w:rsidRDefault="007F181C" w:rsidP="00A9266A">
      <w:pPr>
        <w:spacing w:before="240" w:line="276" w:lineRule="auto"/>
        <w:jc w:val="both"/>
        <w:rPr>
          <w:sz w:val="24"/>
          <w:lang w:val="hr-HR"/>
        </w:rPr>
      </w:pPr>
    </w:p>
    <w:p w14:paraId="7321B589" w14:textId="77777777" w:rsidR="009515C6" w:rsidRPr="00BD1617" w:rsidRDefault="009515C6" w:rsidP="009515C6">
      <w:pPr>
        <w:pStyle w:val="Caption"/>
        <w:spacing w:before="120" w:line="276" w:lineRule="auto"/>
        <w:rPr>
          <w:i/>
          <w:sz w:val="24"/>
          <w:lang w:val="hr-HR"/>
        </w:rPr>
      </w:pPr>
      <w:bookmarkStart w:id="43" w:name="_Toc10032451"/>
      <w:r w:rsidRPr="00BD1617">
        <w:rPr>
          <w:i/>
          <w:sz w:val="24"/>
          <w:lang w:val="hr-HR"/>
        </w:rPr>
        <w:lastRenderedPageBreak/>
        <w:t xml:space="preserve">Tablica </w:t>
      </w:r>
      <w:r w:rsidRPr="00BD1617">
        <w:rPr>
          <w:i/>
          <w:sz w:val="24"/>
          <w:lang w:val="hr-HR"/>
        </w:rPr>
        <w:fldChar w:fldCharType="begin"/>
      </w:r>
      <w:r w:rsidRPr="00BD1617">
        <w:rPr>
          <w:i/>
          <w:sz w:val="24"/>
          <w:lang w:val="hr-HR"/>
        </w:rPr>
        <w:instrText xml:space="preserve"> SEQ Tablica \* ARABIC </w:instrText>
      </w:r>
      <w:r w:rsidRPr="00BD1617">
        <w:rPr>
          <w:i/>
          <w:sz w:val="24"/>
          <w:lang w:val="hr-HR"/>
        </w:rPr>
        <w:fldChar w:fldCharType="separate"/>
      </w:r>
      <w:r w:rsidR="00CE0BC8">
        <w:rPr>
          <w:i/>
          <w:noProof/>
          <w:sz w:val="24"/>
          <w:lang w:val="hr-HR"/>
        </w:rPr>
        <w:t>7</w:t>
      </w:r>
      <w:r w:rsidRPr="00BD1617">
        <w:rPr>
          <w:i/>
          <w:sz w:val="24"/>
          <w:lang w:val="hr-HR"/>
        </w:rPr>
        <w:fldChar w:fldCharType="end"/>
      </w:r>
      <w:r w:rsidRPr="00BD1617">
        <w:rPr>
          <w:i/>
          <w:sz w:val="24"/>
          <w:lang w:val="hr-HR"/>
        </w:rPr>
        <w:t>: Račun financiranja državnog proračuna – obveze i izvori</w:t>
      </w:r>
      <w:bookmarkEnd w:id="43"/>
    </w:p>
    <w:p w14:paraId="6F3E466C" w14:textId="208AE815" w:rsidR="009515C6" w:rsidRDefault="00BA03AA" w:rsidP="009515C6">
      <w:pPr>
        <w:spacing w:line="276" w:lineRule="auto"/>
        <w:jc w:val="both"/>
        <w:rPr>
          <w:sz w:val="24"/>
          <w:lang w:val="hr-HR"/>
        </w:rPr>
      </w:pPr>
      <w:r w:rsidRPr="00BA03AA">
        <w:rPr>
          <w:noProof/>
          <w:lang w:val="hr-HR" w:eastAsia="hr-HR"/>
        </w:rPr>
        <w:drawing>
          <wp:inline distT="0" distB="0" distL="0" distR="0" wp14:anchorId="6888B5A3" wp14:editId="59B19F44">
            <wp:extent cx="5759450" cy="3999052"/>
            <wp:effectExtent l="0" t="0" r="0" b="1905"/>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999052"/>
                    </a:xfrm>
                    <a:prstGeom prst="rect">
                      <a:avLst/>
                    </a:prstGeom>
                    <a:noFill/>
                    <a:ln>
                      <a:noFill/>
                    </a:ln>
                  </pic:spPr>
                </pic:pic>
              </a:graphicData>
            </a:graphic>
          </wp:inline>
        </w:drawing>
      </w:r>
    </w:p>
    <w:p w14:paraId="43208E9A" w14:textId="77777777" w:rsidR="009515C6" w:rsidRPr="00BD1617" w:rsidRDefault="009515C6" w:rsidP="009515C6">
      <w:pPr>
        <w:spacing w:line="276" w:lineRule="auto"/>
        <w:rPr>
          <w:i/>
          <w:sz w:val="20"/>
          <w:lang w:val="hr-HR"/>
        </w:rPr>
      </w:pPr>
      <w:r w:rsidRPr="00BD1617">
        <w:rPr>
          <w:i/>
          <w:sz w:val="20"/>
          <w:lang w:val="hr-HR"/>
        </w:rPr>
        <w:t>Izvor: Ministarstvo financija</w:t>
      </w:r>
    </w:p>
    <w:p w14:paraId="530B7D0A" w14:textId="77777777" w:rsidR="00A9266A" w:rsidRPr="00A9266A" w:rsidRDefault="00A9266A" w:rsidP="00A9266A">
      <w:pPr>
        <w:spacing w:before="240" w:line="276" w:lineRule="auto"/>
        <w:jc w:val="both"/>
        <w:rPr>
          <w:sz w:val="24"/>
          <w:lang w:val="hr-HR"/>
        </w:rPr>
      </w:pPr>
      <w:r w:rsidRPr="00A9266A">
        <w:rPr>
          <w:sz w:val="24"/>
          <w:lang w:val="hr-HR"/>
        </w:rPr>
        <w:t>Ukupno zaduženje u 2018. godini iznosilo je 41,9 milijardi kuna što, u odnosu na 2017., godinu predstavlja smanjenje u iznosu od 28,7 milijardi kuna. Smanjenje je evidentirano na pozicijama kratkoročnog i dugoročnog zaduživanja. Na razinu zaduženja u 2017. godini značajan utjecaj imalo je izdanje državne obveznice za potrebe prijevremene otplate dijela postojećih kreditnih obveza triju društava u cestovnom sektoru (Hrvatske autoceste d.o.o., Autocesta Rijeka-Zagreb d.d. i Hrvatske ceste d.o.o.), sukladno Odluci Vlade RH o prihvaćanju poslovnog i financijskog restrukturiranja cestovnog sektora. Državna obveznica izdana je u iznosu od 1,275 milijardi</w:t>
      </w:r>
      <w:r w:rsidR="0059284E">
        <w:rPr>
          <w:sz w:val="24"/>
          <w:lang w:val="hr-HR"/>
        </w:rPr>
        <w:t xml:space="preserve"> eura</w:t>
      </w:r>
      <w:r w:rsidRPr="00A9266A">
        <w:rPr>
          <w:sz w:val="24"/>
          <w:lang w:val="hr-HR"/>
        </w:rPr>
        <w:t>, a sredstva ostvarena izdanjem proslijeđena su društvima Hrvatske autoceste d.o.o., Autocesta Rijeka-Zagreb d.d. i Hrvatske ceste d.o.o. u svrhu otplata i refinanciranja postojećih obveza društava osiguranih državnim jamstvima te kratkoročnih kreditnih obveza. Nadalje, na smanjenje kratkoročnog zaduženja u 2018. godini utjecalo je izdanje EUR FX trezorskih zapisa emitiranih u studenom 2017. u iznosu od 1,5 milijardi</w:t>
      </w:r>
      <w:r w:rsidR="0059284E">
        <w:rPr>
          <w:sz w:val="24"/>
          <w:lang w:val="hr-HR"/>
        </w:rPr>
        <w:t xml:space="preserve"> eura</w:t>
      </w:r>
      <w:r w:rsidRPr="00A9266A">
        <w:rPr>
          <w:sz w:val="24"/>
          <w:lang w:val="hr-HR"/>
        </w:rPr>
        <w:t>. Budući se radi o emisiji s rokom dospijeća otplate 455 dana, obveza s osnova otplate glavnice EUR FX trezorskih zapisa nije teretila 2018. već je utjecala na povećanje potreba za zaduživanjem u 2019. godini.</w:t>
      </w:r>
    </w:p>
    <w:p w14:paraId="7AC8D354" w14:textId="77777777" w:rsidR="00A9266A" w:rsidRPr="00A9266A" w:rsidRDefault="00A9266A" w:rsidP="00A9266A">
      <w:pPr>
        <w:spacing w:before="240" w:line="276" w:lineRule="auto"/>
        <w:jc w:val="both"/>
        <w:rPr>
          <w:sz w:val="24"/>
          <w:lang w:val="hr-HR"/>
        </w:rPr>
      </w:pPr>
      <w:r w:rsidRPr="00A9266A">
        <w:rPr>
          <w:sz w:val="24"/>
          <w:lang w:val="hr-HR"/>
        </w:rPr>
        <w:t>U 2019. godini ukupne otplate državnog duga, koje uključuju kratkoročni i dugoročni dug, planirane su u iznosu 52,8 milijardi kuna. U strukturi ukupnih otplata u 2019. godini kratkoročni dug iznosi 30,2 milijard</w:t>
      </w:r>
      <w:r w:rsidR="0059284E">
        <w:rPr>
          <w:sz w:val="24"/>
          <w:lang w:val="hr-HR"/>
        </w:rPr>
        <w:t>e</w:t>
      </w:r>
      <w:r w:rsidRPr="00A9266A">
        <w:rPr>
          <w:sz w:val="24"/>
          <w:lang w:val="hr-HR"/>
        </w:rPr>
        <w:t xml:space="preserve"> kuna i u cijelosti se odnosi na izdatke za otplatu glavnice za izdane trezorske zapise. U strukturi otplata dugoročnog duga koji u 2019. godini iznosi </w:t>
      </w:r>
      <w:r w:rsidRPr="00A9266A">
        <w:rPr>
          <w:sz w:val="24"/>
          <w:lang w:val="hr-HR"/>
        </w:rPr>
        <w:lastRenderedPageBreak/>
        <w:t>22,6 milijardi kuna, na izdatke za otplatu glavnice domaćih obveznica i kredita i zajmova otpada 11,3 milijard</w:t>
      </w:r>
      <w:r w:rsidR="0059284E">
        <w:rPr>
          <w:sz w:val="24"/>
          <w:lang w:val="hr-HR"/>
        </w:rPr>
        <w:t>e</w:t>
      </w:r>
      <w:r w:rsidRPr="00A9266A">
        <w:rPr>
          <w:sz w:val="24"/>
          <w:lang w:val="hr-HR"/>
        </w:rPr>
        <w:t xml:space="preserve"> kuna. Isti iznos odnosi se i na izdatke za otplatu glavnice inozemnih obveznica te inozemnih kredita i zajmova. </w:t>
      </w:r>
    </w:p>
    <w:p w14:paraId="05603089" w14:textId="77777777" w:rsidR="00A9266A" w:rsidRPr="00A9266A" w:rsidRDefault="00A9266A" w:rsidP="00A9266A">
      <w:pPr>
        <w:spacing w:before="240" w:line="276" w:lineRule="auto"/>
        <w:jc w:val="both"/>
        <w:rPr>
          <w:sz w:val="24"/>
          <w:lang w:val="hr-HR"/>
        </w:rPr>
      </w:pPr>
      <w:r w:rsidRPr="00A9266A">
        <w:rPr>
          <w:sz w:val="24"/>
          <w:lang w:val="hr-HR"/>
        </w:rPr>
        <w:t xml:space="preserve">Planirani manjak državnog proračuna u 2019. godini utvrđen je u iznosu od 4,2 milijarde kuna. Kako na ukupne potrebe za financiranjem, osim gore navedenih obveza, utječu i obveze s osnova izdataka za dane zajmove i depozite te izdataka za dionice i udjele u glavnici, kao i visina novčanog depozita koji se prenosi iz prethodne proračunske godine, odnosno prenosi u iduću proračunsku godinu, ukupna </w:t>
      </w:r>
      <w:r w:rsidRPr="00A9266A">
        <w:rPr>
          <w:color w:val="000000" w:themeColor="text1"/>
          <w:sz w:val="24"/>
          <w:lang w:val="hr-HR"/>
        </w:rPr>
        <w:t xml:space="preserve">potreba za financiranjem </w:t>
      </w:r>
      <w:r w:rsidRPr="00A9266A">
        <w:rPr>
          <w:sz w:val="24"/>
          <w:lang w:val="hr-HR"/>
        </w:rPr>
        <w:t xml:space="preserve">u 2019. utvrđena je na razini od 63,1 milijardu kuna, od čega je 58,8 milijardi kuna planirano osigurati zaduživanjem. </w:t>
      </w:r>
    </w:p>
    <w:p w14:paraId="5632A45A" w14:textId="77777777" w:rsidR="00A9266A" w:rsidRPr="00A9266A" w:rsidRDefault="00A9266A" w:rsidP="00A9266A">
      <w:pPr>
        <w:spacing w:before="240" w:line="276" w:lineRule="auto"/>
        <w:jc w:val="both"/>
        <w:rPr>
          <w:sz w:val="24"/>
          <w:lang w:val="hr-HR"/>
        </w:rPr>
      </w:pPr>
      <w:r w:rsidRPr="00A9266A">
        <w:rPr>
          <w:sz w:val="24"/>
          <w:lang w:val="hr-HR"/>
        </w:rPr>
        <w:t>U računu financiranja 2019. godine planirano je kratkoročno zaduživanje izdavanjem trezorskih zapisa u iznosu od 28,7 milijardi kuna, odnosno predviđeno je smanjenje salda trezorskih zapisa u iznosu od 1,5 milijardi kuna. S obzirom na inozemne obveze koje se plaćaju u 2019. godini, od čega se najznačajnije odnose na otplate glavnice inozemnih obveznica s dospijećem u studenom 2019. u iznosu od 10,5 milijardi kuna, predviđeno je zaduživanje na inozemnom tržištu putem izdavanja obveznica i inozemnih kredita i zajmova u ukupnom iznosu od 11,5 milijardi kuna. Financiranje dugoročnih obveza domaćeg državnog duga i ostalih obveza državnog proračuna tijekom godine planira se izdavanjem obveznica na domaćem tržištu u iznosu od 13,1 milijard</w:t>
      </w:r>
      <w:r w:rsidR="0059284E">
        <w:rPr>
          <w:sz w:val="24"/>
          <w:lang w:val="hr-HR"/>
        </w:rPr>
        <w:t>u</w:t>
      </w:r>
      <w:r w:rsidRPr="00A9266A">
        <w:rPr>
          <w:sz w:val="24"/>
          <w:lang w:val="hr-HR"/>
        </w:rPr>
        <w:t xml:space="preserve"> kuna i kreditnim zaduženjem na domaćem tržištu u iznosu od 5,6 milijardi kuna. </w:t>
      </w:r>
    </w:p>
    <w:p w14:paraId="6FD7ED74" w14:textId="77777777" w:rsidR="00A9266A" w:rsidRPr="00A9266A" w:rsidRDefault="00A9266A" w:rsidP="00A9266A">
      <w:pPr>
        <w:spacing w:before="240" w:line="276" w:lineRule="auto"/>
        <w:jc w:val="both"/>
        <w:rPr>
          <w:color w:val="FF0000"/>
          <w:sz w:val="24"/>
          <w:lang w:val="hr-HR"/>
        </w:rPr>
      </w:pPr>
      <w:r w:rsidRPr="00A9266A">
        <w:rPr>
          <w:sz w:val="24"/>
          <w:lang w:val="hr-HR"/>
        </w:rPr>
        <w:t>Projekcijama za 2020. i 2021. planira se smanjenje manjka državnog proračuna u odnosu na plan 2019., pa tako u 2020. planirani manjak državnog proračuna iznosi 1,3 milijarde kuna, a u 2021. godini planiran je višak državnog proračuna u iznosu od 127 milijuna kuna. Ukupne otplate duga državnog proračuna u 2020. iznose 52,7 milijardi kuna</w:t>
      </w:r>
      <w:r w:rsidR="00EF101C">
        <w:rPr>
          <w:sz w:val="24"/>
          <w:lang w:val="hr-HR"/>
        </w:rPr>
        <w:t>,</w:t>
      </w:r>
      <w:r w:rsidRPr="00A9266A">
        <w:rPr>
          <w:sz w:val="24"/>
          <w:lang w:val="hr-HR"/>
        </w:rPr>
        <w:t xml:space="preserve"> a u 2021. 49,5 milijardi kuna. Uzimajući u obzir sveukupno utvrđene podatke u računu financiranja, ukupne potrebe za financiranjem u 2020. godini smanjuju se u odnosu na 2019. i iznose 57,5 milijardi kuna, a u 2021. 53,2 milijarde kuna.</w:t>
      </w:r>
    </w:p>
    <w:p w14:paraId="49BD7666" w14:textId="77777777" w:rsidR="00A9266A" w:rsidRPr="00A9266A" w:rsidRDefault="00A9266A" w:rsidP="00A9266A">
      <w:pPr>
        <w:spacing w:before="240" w:line="276" w:lineRule="auto"/>
        <w:jc w:val="both"/>
        <w:rPr>
          <w:sz w:val="24"/>
          <w:lang w:val="hr-HR"/>
        </w:rPr>
      </w:pPr>
      <w:r w:rsidRPr="00A9266A">
        <w:rPr>
          <w:sz w:val="24"/>
          <w:lang w:val="hr-HR"/>
        </w:rPr>
        <w:t xml:space="preserve">Projekcije za 2020. </w:t>
      </w:r>
      <w:r w:rsidR="004775F1">
        <w:rPr>
          <w:sz w:val="24"/>
          <w:lang w:val="hr-HR"/>
        </w:rPr>
        <w:t xml:space="preserve">godinu </w:t>
      </w:r>
      <w:r w:rsidRPr="00A9266A">
        <w:rPr>
          <w:sz w:val="24"/>
          <w:lang w:val="hr-HR"/>
        </w:rPr>
        <w:t xml:space="preserve">predviđaju nastavak trenda smanjenja kratkoročnog duga (trezorskih zapisa) u iznosu od 984 milijuna kuna. </w:t>
      </w:r>
    </w:p>
    <w:p w14:paraId="0473F941" w14:textId="77777777" w:rsidR="00A9266A" w:rsidRPr="00A9266A" w:rsidRDefault="00A9266A" w:rsidP="00A9266A">
      <w:pPr>
        <w:spacing w:before="240" w:line="276" w:lineRule="auto"/>
        <w:jc w:val="both"/>
        <w:rPr>
          <w:sz w:val="24"/>
          <w:lang w:val="hr-HR"/>
        </w:rPr>
      </w:pPr>
      <w:r w:rsidRPr="009515C6">
        <w:rPr>
          <w:sz w:val="24"/>
          <w:lang w:val="hr-HR"/>
        </w:rPr>
        <w:t>Ovisno o uvjetima na financijskim tržištima, koji trenutačno ukazuju na mogućnost produženja prosječne ročnosti duga, i nadalje će se planirati smanjenje kratkoročnog duga i smanjenje njegovog udjela u ukupnom dugu državnog proračuna.</w:t>
      </w:r>
      <w:r w:rsidRPr="00A9266A">
        <w:rPr>
          <w:sz w:val="24"/>
          <w:lang w:val="hr-HR"/>
        </w:rPr>
        <w:t xml:space="preserve"> </w:t>
      </w:r>
    </w:p>
    <w:p w14:paraId="702DF00D" w14:textId="2420FB3B" w:rsidR="0049708B" w:rsidRDefault="0049708B" w:rsidP="0049708B">
      <w:pPr>
        <w:spacing w:before="240" w:line="276" w:lineRule="auto"/>
        <w:jc w:val="both"/>
        <w:rPr>
          <w:sz w:val="24"/>
          <w:lang w:val="hr-HR"/>
        </w:rPr>
      </w:pPr>
      <w:r w:rsidRPr="00F57343">
        <w:rPr>
          <w:sz w:val="24"/>
          <w:lang w:val="hr-HR"/>
        </w:rPr>
        <w:t>Kalendar izdavanja trezorskih zapisa u 201</w:t>
      </w:r>
      <w:r w:rsidR="00F57343" w:rsidRPr="00F57343">
        <w:rPr>
          <w:sz w:val="24"/>
          <w:lang w:val="hr-HR"/>
        </w:rPr>
        <w:t>9</w:t>
      </w:r>
      <w:r w:rsidRPr="00F57343">
        <w:rPr>
          <w:sz w:val="24"/>
          <w:lang w:val="hr-HR"/>
        </w:rPr>
        <w:t>. godini (</w:t>
      </w:r>
      <w:r w:rsidR="0059284E">
        <w:rPr>
          <w:sz w:val="24"/>
          <w:lang w:val="hr-HR"/>
        </w:rPr>
        <w:t>T</w:t>
      </w:r>
      <w:r w:rsidRPr="00F57343">
        <w:rPr>
          <w:sz w:val="24"/>
          <w:lang w:val="hr-HR"/>
        </w:rPr>
        <w:t>ablica 8</w:t>
      </w:r>
      <w:r w:rsidR="0059284E">
        <w:rPr>
          <w:sz w:val="24"/>
          <w:lang w:val="hr-HR"/>
        </w:rPr>
        <w:t>.</w:t>
      </w:r>
      <w:r w:rsidRPr="00F57343">
        <w:rPr>
          <w:sz w:val="24"/>
          <w:lang w:val="hr-HR"/>
        </w:rPr>
        <w:t xml:space="preserve">) ukazuje na planirane iznose i datume aukcija trezorskih zapisa. Indikativni iznos limitiran je na godišnjoj razini od </w:t>
      </w:r>
      <w:r w:rsidR="00F57343">
        <w:rPr>
          <w:sz w:val="24"/>
          <w:lang w:val="hr-HR"/>
        </w:rPr>
        <w:t>28,7</w:t>
      </w:r>
      <w:r w:rsidRPr="00F57343">
        <w:rPr>
          <w:sz w:val="24"/>
          <w:lang w:val="hr-HR"/>
        </w:rPr>
        <w:t xml:space="preserve"> milijard</w:t>
      </w:r>
      <w:r w:rsidR="00EF101C">
        <w:rPr>
          <w:sz w:val="24"/>
          <w:lang w:val="hr-HR"/>
        </w:rPr>
        <w:t>i</w:t>
      </w:r>
      <w:r w:rsidRPr="00F57343">
        <w:rPr>
          <w:sz w:val="24"/>
          <w:lang w:val="hr-HR"/>
        </w:rPr>
        <w:t xml:space="preserve"> kuna.</w:t>
      </w:r>
    </w:p>
    <w:p w14:paraId="2D5F20D4" w14:textId="77777777" w:rsidR="004775F1" w:rsidRPr="0049708B" w:rsidRDefault="004775F1" w:rsidP="0049708B">
      <w:pPr>
        <w:spacing w:before="240" w:line="276" w:lineRule="auto"/>
        <w:jc w:val="both"/>
        <w:rPr>
          <w:sz w:val="24"/>
          <w:lang w:val="hr-HR"/>
        </w:rPr>
      </w:pPr>
    </w:p>
    <w:p w14:paraId="357B3377" w14:textId="77777777" w:rsidR="00292D85" w:rsidRPr="00F55955" w:rsidRDefault="0035474D" w:rsidP="0035474D">
      <w:pPr>
        <w:pStyle w:val="Caption"/>
        <w:spacing w:before="240" w:line="276" w:lineRule="auto"/>
        <w:rPr>
          <w:i/>
          <w:sz w:val="24"/>
          <w:lang w:val="hr-HR"/>
        </w:rPr>
      </w:pPr>
      <w:bookmarkStart w:id="44" w:name="_Toc10032452"/>
      <w:r w:rsidRPr="00F55955">
        <w:rPr>
          <w:i/>
          <w:sz w:val="24"/>
          <w:lang w:val="hr-HR"/>
        </w:rPr>
        <w:lastRenderedPageBreak/>
        <w:t xml:space="preserve">Tablica </w:t>
      </w:r>
      <w:r w:rsidRPr="00F55955">
        <w:rPr>
          <w:i/>
          <w:sz w:val="24"/>
          <w:lang w:val="hr-HR"/>
        </w:rPr>
        <w:fldChar w:fldCharType="begin"/>
      </w:r>
      <w:r w:rsidRPr="00F55955">
        <w:rPr>
          <w:i/>
          <w:sz w:val="24"/>
          <w:lang w:val="hr-HR"/>
        </w:rPr>
        <w:instrText xml:space="preserve"> SEQ Tablica \* ARABIC </w:instrText>
      </w:r>
      <w:r w:rsidRPr="00F55955">
        <w:rPr>
          <w:i/>
          <w:sz w:val="24"/>
          <w:lang w:val="hr-HR"/>
        </w:rPr>
        <w:fldChar w:fldCharType="separate"/>
      </w:r>
      <w:r w:rsidR="00CE0BC8">
        <w:rPr>
          <w:i/>
          <w:noProof/>
          <w:sz w:val="24"/>
          <w:lang w:val="hr-HR"/>
        </w:rPr>
        <w:t>8</w:t>
      </w:r>
      <w:r w:rsidRPr="00F55955">
        <w:rPr>
          <w:i/>
          <w:sz w:val="24"/>
          <w:lang w:val="hr-HR"/>
        </w:rPr>
        <w:fldChar w:fldCharType="end"/>
      </w:r>
      <w:r w:rsidRPr="00F55955">
        <w:rPr>
          <w:i/>
          <w:sz w:val="24"/>
          <w:lang w:val="hr-HR"/>
        </w:rPr>
        <w:t>:</w:t>
      </w:r>
      <w:r w:rsidR="00292D85" w:rsidRPr="00F55955">
        <w:rPr>
          <w:i/>
          <w:sz w:val="24"/>
          <w:lang w:val="hr-HR"/>
        </w:rPr>
        <w:t xml:space="preserve"> Kalendar izdavanja trezorskih zapisa u 201</w:t>
      </w:r>
      <w:r w:rsidR="00F57343" w:rsidRPr="00F55955">
        <w:rPr>
          <w:i/>
          <w:sz w:val="24"/>
          <w:lang w:val="hr-HR"/>
        </w:rPr>
        <w:t>9</w:t>
      </w:r>
      <w:r w:rsidR="00292D85" w:rsidRPr="00F55955">
        <w:rPr>
          <w:i/>
          <w:sz w:val="24"/>
          <w:lang w:val="hr-HR"/>
        </w:rPr>
        <w:t>. godini</w:t>
      </w:r>
      <w:bookmarkEnd w:id="44"/>
    </w:p>
    <w:p w14:paraId="52723CE3" w14:textId="77777777" w:rsidR="00925806" w:rsidRPr="00025326" w:rsidRDefault="00F55955" w:rsidP="0035474D">
      <w:pPr>
        <w:spacing w:line="276" w:lineRule="auto"/>
        <w:rPr>
          <w:sz w:val="24"/>
          <w:highlight w:val="yellow"/>
          <w:lang w:val="hr-HR"/>
        </w:rPr>
      </w:pPr>
      <w:r w:rsidRPr="00F55955">
        <w:rPr>
          <w:noProof/>
          <w:lang w:val="hr-HR" w:eastAsia="hr-HR"/>
        </w:rPr>
        <w:drawing>
          <wp:inline distT="0" distB="0" distL="0" distR="0" wp14:anchorId="09B46E90" wp14:editId="6A022F06">
            <wp:extent cx="5759450" cy="3820206"/>
            <wp:effectExtent l="0" t="0" r="0" b="889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3820206"/>
                    </a:xfrm>
                    <a:prstGeom prst="rect">
                      <a:avLst/>
                    </a:prstGeom>
                    <a:noFill/>
                    <a:ln>
                      <a:noFill/>
                    </a:ln>
                  </pic:spPr>
                </pic:pic>
              </a:graphicData>
            </a:graphic>
          </wp:inline>
        </w:drawing>
      </w:r>
    </w:p>
    <w:p w14:paraId="0396B672" w14:textId="77777777" w:rsidR="009515C6" w:rsidRDefault="0035474D" w:rsidP="00DF23F9">
      <w:pPr>
        <w:spacing w:line="276" w:lineRule="auto"/>
        <w:rPr>
          <w:sz w:val="24"/>
          <w:lang w:val="hr-HR"/>
        </w:rPr>
      </w:pPr>
      <w:r w:rsidRPr="004C1430">
        <w:rPr>
          <w:i/>
          <w:sz w:val="20"/>
          <w:lang w:val="hr-HR"/>
        </w:rPr>
        <w:t>Izvor: Ministarstvo financija</w:t>
      </w:r>
    </w:p>
    <w:p w14:paraId="47E1EF0F" w14:textId="77777777" w:rsidR="0049708B" w:rsidRPr="004C1430" w:rsidRDefault="0049708B" w:rsidP="0049708B">
      <w:pPr>
        <w:spacing w:before="240" w:line="276" w:lineRule="auto"/>
        <w:jc w:val="both"/>
        <w:rPr>
          <w:i/>
          <w:sz w:val="20"/>
          <w:lang w:val="hr-HR"/>
        </w:rPr>
      </w:pPr>
      <w:r w:rsidRPr="004C1430">
        <w:rPr>
          <w:sz w:val="24"/>
          <w:lang w:val="hr-HR"/>
        </w:rPr>
        <w:t>Planom izdavanja obveznica u 201</w:t>
      </w:r>
      <w:r w:rsidR="004C1430" w:rsidRPr="004C1430">
        <w:rPr>
          <w:sz w:val="24"/>
          <w:lang w:val="hr-HR"/>
        </w:rPr>
        <w:t>9</w:t>
      </w:r>
      <w:r w:rsidRPr="004C1430">
        <w:rPr>
          <w:sz w:val="24"/>
          <w:lang w:val="hr-HR"/>
        </w:rPr>
        <w:t>. godini (</w:t>
      </w:r>
      <w:r w:rsidR="00187016">
        <w:rPr>
          <w:sz w:val="24"/>
          <w:lang w:val="hr-HR"/>
        </w:rPr>
        <w:t>T</w:t>
      </w:r>
      <w:r w:rsidRPr="004C1430">
        <w:rPr>
          <w:sz w:val="24"/>
          <w:lang w:val="hr-HR"/>
        </w:rPr>
        <w:t>ablica 9</w:t>
      </w:r>
      <w:r w:rsidR="00187016">
        <w:rPr>
          <w:sz w:val="24"/>
          <w:lang w:val="hr-HR"/>
        </w:rPr>
        <w:t>.</w:t>
      </w:r>
      <w:r w:rsidRPr="004C1430">
        <w:rPr>
          <w:sz w:val="24"/>
          <w:lang w:val="hr-HR"/>
        </w:rPr>
        <w:t xml:space="preserve">) utvrđeno je da će se financiranje putem obveznica realizirati u ukupnom iznosu od </w:t>
      </w:r>
      <w:r w:rsidR="004C1430" w:rsidRPr="004C1430">
        <w:rPr>
          <w:sz w:val="24"/>
          <w:lang w:val="hr-HR"/>
        </w:rPr>
        <w:t>23,5</w:t>
      </w:r>
      <w:r w:rsidRPr="004C1430">
        <w:rPr>
          <w:sz w:val="24"/>
          <w:lang w:val="hr-HR"/>
        </w:rPr>
        <w:t xml:space="preserve"> milijard</w:t>
      </w:r>
      <w:r w:rsidR="00187016">
        <w:rPr>
          <w:sz w:val="24"/>
          <w:lang w:val="hr-HR"/>
        </w:rPr>
        <w:t>i</w:t>
      </w:r>
      <w:r w:rsidRPr="004C1430">
        <w:rPr>
          <w:sz w:val="24"/>
          <w:lang w:val="hr-HR"/>
        </w:rPr>
        <w:t xml:space="preserve"> kuna, od čega 1</w:t>
      </w:r>
      <w:r w:rsidR="004C1430" w:rsidRPr="004C1430">
        <w:rPr>
          <w:sz w:val="24"/>
          <w:lang w:val="hr-HR"/>
        </w:rPr>
        <w:t>3</w:t>
      </w:r>
      <w:r w:rsidRPr="004C1430">
        <w:rPr>
          <w:sz w:val="24"/>
          <w:lang w:val="hr-HR"/>
        </w:rPr>
        <w:t xml:space="preserve"> milijardi kuna na domaćem tržištu (</w:t>
      </w:r>
      <w:r w:rsidR="004C1430" w:rsidRPr="004C1430">
        <w:rPr>
          <w:sz w:val="24"/>
          <w:lang w:val="hr-HR"/>
        </w:rPr>
        <w:t xml:space="preserve">I, </w:t>
      </w:r>
      <w:r w:rsidRPr="004C1430">
        <w:rPr>
          <w:sz w:val="24"/>
          <w:lang w:val="hr-HR"/>
        </w:rPr>
        <w:t xml:space="preserve">III. i IV. tromjesečje), a iznos od </w:t>
      </w:r>
      <w:r w:rsidR="004C1430" w:rsidRPr="004C1430">
        <w:rPr>
          <w:sz w:val="24"/>
          <w:lang w:val="hr-HR"/>
        </w:rPr>
        <w:t>10,5 milijardi</w:t>
      </w:r>
      <w:r w:rsidRPr="004C1430">
        <w:rPr>
          <w:sz w:val="24"/>
          <w:lang w:val="hr-HR"/>
        </w:rPr>
        <w:t xml:space="preserve"> kuna na inozemnom tržištu novca i kapitala i to u II. tromjesečju 201</w:t>
      </w:r>
      <w:r w:rsidR="004C1430" w:rsidRPr="004C1430">
        <w:rPr>
          <w:sz w:val="24"/>
          <w:lang w:val="hr-HR"/>
        </w:rPr>
        <w:t>9</w:t>
      </w:r>
      <w:r w:rsidRPr="004C1430">
        <w:rPr>
          <w:sz w:val="24"/>
          <w:lang w:val="hr-HR"/>
        </w:rPr>
        <w:t>. godine.</w:t>
      </w:r>
    </w:p>
    <w:p w14:paraId="419CDC67" w14:textId="77777777" w:rsidR="00D56D25" w:rsidRPr="004C1430" w:rsidRDefault="0035474D" w:rsidP="0035474D">
      <w:pPr>
        <w:pStyle w:val="Caption"/>
        <w:spacing w:before="240" w:line="276" w:lineRule="auto"/>
        <w:rPr>
          <w:i/>
          <w:sz w:val="24"/>
          <w:lang w:val="hr-HR"/>
        </w:rPr>
      </w:pPr>
      <w:bookmarkStart w:id="45" w:name="_Toc10032453"/>
      <w:r w:rsidRPr="004C1430">
        <w:rPr>
          <w:i/>
          <w:sz w:val="24"/>
          <w:lang w:val="hr-HR"/>
        </w:rPr>
        <w:t xml:space="preserve">Tablica </w:t>
      </w:r>
      <w:r w:rsidRPr="004C1430">
        <w:rPr>
          <w:i/>
          <w:sz w:val="24"/>
          <w:lang w:val="hr-HR"/>
        </w:rPr>
        <w:fldChar w:fldCharType="begin"/>
      </w:r>
      <w:r w:rsidRPr="004C1430">
        <w:rPr>
          <w:i/>
          <w:sz w:val="24"/>
          <w:lang w:val="hr-HR"/>
        </w:rPr>
        <w:instrText xml:space="preserve"> SEQ Tablica \* ARABIC </w:instrText>
      </w:r>
      <w:r w:rsidRPr="004C1430">
        <w:rPr>
          <w:i/>
          <w:sz w:val="24"/>
          <w:lang w:val="hr-HR"/>
        </w:rPr>
        <w:fldChar w:fldCharType="separate"/>
      </w:r>
      <w:r w:rsidR="00CE0BC8">
        <w:rPr>
          <w:i/>
          <w:noProof/>
          <w:sz w:val="24"/>
          <w:lang w:val="hr-HR"/>
        </w:rPr>
        <w:t>9</w:t>
      </w:r>
      <w:r w:rsidRPr="004C1430">
        <w:rPr>
          <w:i/>
          <w:sz w:val="24"/>
          <w:lang w:val="hr-HR"/>
        </w:rPr>
        <w:fldChar w:fldCharType="end"/>
      </w:r>
      <w:r w:rsidR="00292D85" w:rsidRPr="004C1430">
        <w:rPr>
          <w:i/>
          <w:sz w:val="24"/>
          <w:lang w:val="hr-HR"/>
        </w:rPr>
        <w:t>: Plan izdanja obveznica u 201</w:t>
      </w:r>
      <w:r w:rsidR="004C1430" w:rsidRPr="004C1430">
        <w:rPr>
          <w:i/>
          <w:sz w:val="24"/>
          <w:lang w:val="hr-HR"/>
        </w:rPr>
        <w:t>9</w:t>
      </w:r>
      <w:r w:rsidR="00292D85" w:rsidRPr="004C1430">
        <w:rPr>
          <w:i/>
          <w:sz w:val="24"/>
          <w:lang w:val="hr-HR"/>
        </w:rPr>
        <w:t>. godini</w:t>
      </w:r>
      <w:bookmarkEnd w:id="45"/>
      <w:r w:rsidR="00292D85" w:rsidRPr="004C1430">
        <w:rPr>
          <w:i/>
          <w:sz w:val="24"/>
          <w:lang w:val="hr-HR"/>
        </w:rPr>
        <w:t xml:space="preserve"> </w:t>
      </w:r>
    </w:p>
    <w:p w14:paraId="39C03FF9" w14:textId="77777777" w:rsidR="00450F0D" w:rsidRPr="00025326" w:rsidRDefault="004C1430" w:rsidP="0035474D">
      <w:pPr>
        <w:spacing w:line="276" w:lineRule="auto"/>
        <w:rPr>
          <w:i/>
          <w:sz w:val="20"/>
          <w:highlight w:val="yellow"/>
          <w:lang w:val="hr-HR"/>
        </w:rPr>
      </w:pPr>
      <w:r w:rsidRPr="004C1430">
        <w:rPr>
          <w:noProof/>
          <w:lang w:val="hr-HR" w:eastAsia="hr-HR"/>
        </w:rPr>
        <w:drawing>
          <wp:inline distT="0" distB="0" distL="0" distR="0" wp14:anchorId="70D2F987" wp14:editId="68BBB603">
            <wp:extent cx="4845050" cy="920750"/>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45050" cy="920750"/>
                    </a:xfrm>
                    <a:prstGeom prst="rect">
                      <a:avLst/>
                    </a:prstGeom>
                    <a:noFill/>
                    <a:ln>
                      <a:noFill/>
                    </a:ln>
                  </pic:spPr>
                </pic:pic>
              </a:graphicData>
            </a:graphic>
          </wp:inline>
        </w:drawing>
      </w:r>
    </w:p>
    <w:p w14:paraId="1F630428" w14:textId="77777777" w:rsidR="0035474D" w:rsidRPr="004C1430" w:rsidRDefault="0035474D" w:rsidP="0035474D">
      <w:pPr>
        <w:spacing w:line="276" w:lineRule="auto"/>
        <w:rPr>
          <w:i/>
          <w:sz w:val="20"/>
          <w:lang w:val="hr-HR"/>
        </w:rPr>
      </w:pPr>
      <w:r w:rsidRPr="004C1430">
        <w:rPr>
          <w:i/>
          <w:sz w:val="20"/>
          <w:lang w:val="hr-HR"/>
        </w:rPr>
        <w:t>Izvor: Ministarstvo financija</w:t>
      </w:r>
    </w:p>
    <w:p w14:paraId="34A33E0F" w14:textId="77777777" w:rsidR="0049708B" w:rsidRDefault="0049708B" w:rsidP="0049708B">
      <w:pPr>
        <w:spacing w:before="240" w:line="276" w:lineRule="auto"/>
        <w:jc w:val="both"/>
        <w:rPr>
          <w:sz w:val="24"/>
          <w:lang w:val="hr-HR"/>
        </w:rPr>
      </w:pPr>
      <w:r w:rsidRPr="004C1430">
        <w:rPr>
          <w:sz w:val="24"/>
          <w:lang w:val="hr-HR"/>
        </w:rPr>
        <w:t xml:space="preserve">U </w:t>
      </w:r>
      <w:r w:rsidR="00187016">
        <w:rPr>
          <w:sz w:val="24"/>
          <w:lang w:val="hr-HR"/>
        </w:rPr>
        <w:t>T</w:t>
      </w:r>
      <w:r w:rsidRPr="004C1430">
        <w:rPr>
          <w:sz w:val="24"/>
          <w:lang w:val="hr-HR"/>
        </w:rPr>
        <w:t>ablici 10</w:t>
      </w:r>
      <w:r w:rsidR="00187016">
        <w:rPr>
          <w:sz w:val="24"/>
          <w:lang w:val="hr-HR"/>
        </w:rPr>
        <w:t>.</w:t>
      </w:r>
      <w:r w:rsidRPr="004C1430">
        <w:rPr>
          <w:sz w:val="24"/>
          <w:lang w:val="hr-HR"/>
        </w:rPr>
        <w:t xml:space="preserve"> iskazana je projekcija otplata glavnice državnog duga prema oblicima zaduženja u razdoblju 201</w:t>
      </w:r>
      <w:r w:rsidR="004C1430" w:rsidRPr="004C1430">
        <w:rPr>
          <w:sz w:val="24"/>
          <w:lang w:val="hr-HR"/>
        </w:rPr>
        <w:t>9</w:t>
      </w:r>
      <w:r w:rsidRPr="004C1430">
        <w:rPr>
          <w:sz w:val="24"/>
          <w:lang w:val="hr-HR"/>
        </w:rPr>
        <w:t>. - 2032.</w:t>
      </w:r>
    </w:p>
    <w:p w14:paraId="7590A2E2" w14:textId="77777777" w:rsidR="008B368B" w:rsidRDefault="008B368B" w:rsidP="0049708B">
      <w:pPr>
        <w:spacing w:before="240" w:line="276" w:lineRule="auto"/>
        <w:jc w:val="both"/>
        <w:rPr>
          <w:sz w:val="24"/>
          <w:lang w:val="hr-HR"/>
        </w:rPr>
      </w:pPr>
    </w:p>
    <w:p w14:paraId="48C5A559" w14:textId="77777777" w:rsidR="008B368B" w:rsidRDefault="008B368B" w:rsidP="0049708B">
      <w:pPr>
        <w:spacing w:before="240" w:line="276" w:lineRule="auto"/>
        <w:jc w:val="both"/>
        <w:rPr>
          <w:sz w:val="24"/>
          <w:lang w:val="hr-HR"/>
        </w:rPr>
      </w:pPr>
    </w:p>
    <w:p w14:paraId="61651AE0" w14:textId="77777777" w:rsidR="008B368B" w:rsidRDefault="008B368B" w:rsidP="0049708B">
      <w:pPr>
        <w:spacing w:before="240" w:line="276" w:lineRule="auto"/>
        <w:jc w:val="both"/>
        <w:rPr>
          <w:sz w:val="24"/>
          <w:lang w:val="hr-HR"/>
        </w:rPr>
      </w:pPr>
    </w:p>
    <w:p w14:paraId="7EC4F184" w14:textId="77777777" w:rsidR="008B368B" w:rsidRPr="0049708B" w:rsidRDefault="008B368B" w:rsidP="0049708B">
      <w:pPr>
        <w:spacing w:before="240" w:line="276" w:lineRule="auto"/>
        <w:jc w:val="both"/>
        <w:rPr>
          <w:sz w:val="24"/>
          <w:lang w:val="hr-HR"/>
        </w:rPr>
      </w:pPr>
    </w:p>
    <w:p w14:paraId="6472559A" w14:textId="77777777" w:rsidR="00925806" w:rsidRPr="004C1430" w:rsidRDefault="0035474D" w:rsidP="00450F0D">
      <w:pPr>
        <w:pStyle w:val="Caption"/>
        <w:spacing w:before="240" w:line="276" w:lineRule="auto"/>
        <w:rPr>
          <w:i/>
          <w:sz w:val="24"/>
          <w:lang w:val="hr-HR"/>
        </w:rPr>
      </w:pPr>
      <w:bookmarkStart w:id="46" w:name="_Toc10032454"/>
      <w:r w:rsidRPr="004C1430">
        <w:rPr>
          <w:i/>
          <w:sz w:val="24"/>
          <w:lang w:val="hr-HR"/>
        </w:rPr>
        <w:lastRenderedPageBreak/>
        <w:t xml:space="preserve">Tablica </w:t>
      </w:r>
      <w:r w:rsidRPr="004C1430">
        <w:rPr>
          <w:i/>
          <w:sz w:val="24"/>
          <w:lang w:val="hr-HR"/>
        </w:rPr>
        <w:fldChar w:fldCharType="begin"/>
      </w:r>
      <w:r w:rsidRPr="004C1430">
        <w:rPr>
          <w:i/>
          <w:sz w:val="24"/>
          <w:lang w:val="hr-HR"/>
        </w:rPr>
        <w:instrText xml:space="preserve"> SEQ Tablica \* ARABIC </w:instrText>
      </w:r>
      <w:r w:rsidRPr="004C1430">
        <w:rPr>
          <w:i/>
          <w:sz w:val="24"/>
          <w:lang w:val="hr-HR"/>
        </w:rPr>
        <w:fldChar w:fldCharType="separate"/>
      </w:r>
      <w:r w:rsidR="00CE0BC8">
        <w:rPr>
          <w:i/>
          <w:noProof/>
          <w:sz w:val="24"/>
          <w:lang w:val="hr-HR"/>
        </w:rPr>
        <w:t>10</w:t>
      </w:r>
      <w:r w:rsidRPr="004C1430">
        <w:rPr>
          <w:i/>
          <w:sz w:val="24"/>
          <w:lang w:val="hr-HR"/>
        </w:rPr>
        <w:fldChar w:fldCharType="end"/>
      </w:r>
      <w:r w:rsidR="005B7558" w:rsidRPr="004C1430">
        <w:rPr>
          <w:i/>
          <w:sz w:val="24"/>
          <w:lang w:val="hr-HR"/>
        </w:rPr>
        <w:t>: Projekcija otplata glavnica duga drža</w:t>
      </w:r>
      <w:r w:rsidR="00392A65" w:rsidRPr="004C1430">
        <w:rPr>
          <w:i/>
          <w:sz w:val="24"/>
          <w:lang w:val="hr-HR"/>
        </w:rPr>
        <w:t>vnog proračuna za razdoblje 201</w:t>
      </w:r>
      <w:r w:rsidR="004C1430">
        <w:rPr>
          <w:i/>
          <w:sz w:val="24"/>
          <w:lang w:val="hr-HR"/>
        </w:rPr>
        <w:t>9</w:t>
      </w:r>
      <w:r w:rsidR="00050C71" w:rsidRPr="004C1430">
        <w:rPr>
          <w:i/>
          <w:sz w:val="24"/>
          <w:lang w:val="hr-HR"/>
        </w:rPr>
        <w:t>. - 2032</w:t>
      </w:r>
      <w:r w:rsidR="005B7558" w:rsidRPr="004C1430">
        <w:rPr>
          <w:i/>
          <w:sz w:val="24"/>
          <w:lang w:val="hr-HR"/>
        </w:rPr>
        <w:t>.</w:t>
      </w:r>
      <w:bookmarkEnd w:id="46"/>
    </w:p>
    <w:p w14:paraId="114AF081" w14:textId="77777777" w:rsidR="00D77AFE" w:rsidRPr="00025326" w:rsidRDefault="004C1430" w:rsidP="00F03841">
      <w:pPr>
        <w:spacing w:line="276" w:lineRule="auto"/>
        <w:rPr>
          <w:i/>
          <w:sz w:val="20"/>
          <w:highlight w:val="yellow"/>
          <w:lang w:val="hr-HR"/>
        </w:rPr>
      </w:pPr>
      <w:r w:rsidRPr="004C1430">
        <w:rPr>
          <w:noProof/>
          <w:lang w:val="hr-HR" w:eastAsia="hr-HR"/>
        </w:rPr>
        <w:drawing>
          <wp:inline distT="0" distB="0" distL="0" distR="0" wp14:anchorId="0442889B" wp14:editId="077F4AEC">
            <wp:extent cx="5759450" cy="1961813"/>
            <wp:effectExtent l="0" t="0" r="0" b="635"/>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1961813"/>
                    </a:xfrm>
                    <a:prstGeom prst="rect">
                      <a:avLst/>
                    </a:prstGeom>
                    <a:noFill/>
                    <a:ln>
                      <a:noFill/>
                    </a:ln>
                  </pic:spPr>
                </pic:pic>
              </a:graphicData>
            </a:graphic>
          </wp:inline>
        </w:drawing>
      </w:r>
    </w:p>
    <w:p w14:paraId="02F94C80" w14:textId="77777777" w:rsidR="00F03841" w:rsidRPr="006B7122" w:rsidRDefault="00F1420C" w:rsidP="00F03841">
      <w:pPr>
        <w:spacing w:line="276" w:lineRule="auto"/>
        <w:rPr>
          <w:i/>
          <w:sz w:val="20"/>
          <w:lang w:val="hr-HR"/>
        </w:rPr>
      </w:pPr>
      <w:r w:rsidRPr="006B7122">
        <w:rPr>
          <w:i/>
          <w:sz w:val="20"/>
          <w:lang w:val="hr-HR"/>
        </w:rPr>
        <w:t>Vrijednosti su izražene u kunama prema s</w:t>
      </w:r>
      <w:r w:rsidR="00F03841" w:rsidRPr="006B7122">
        <w:rPr>
          <w:i/>
          <w:sz w:val="20"/>
          <w:lang w:val="hr-HR"/>
        </w:rPr>
        <w:t>rednj</w:t>
      </w:r>
      <w:r w:rsidRPr="006B7122">
        <w:rPr>
          <w:i/>
          <w:sz w:val="20"/>
          <w:lang w:val="hr-HR"/>
        </w:rPr>
        <w:t>em</w:t>
      </w:r>
      <w:r w:rsidR="00F03841" w:rsidRPr="006B7122">
        <w:rPr>
          <w:i/>
          <w:sz w:val="20"/>
          <w:lang w:val="hr-HR"/>
        </w:rPr>
        <w:t xml:space="preserve"> tečaj</w:t>
      </w:r>
      <w:r w:rsidRPr="006B7122">
        <w:rPr>
          <w:i/>
          <w:sz w:val="20"/>
          <w:lang w:val="hr-HR"/>
        </w:rPr>
        <w:t>u</w:t>
      </w:r>
      <w:r w:rsidR="00F03841" w:rsidRPr="006B7122">
        <w:rPr>
          <w:i/>
          <w:sz w:val="20"/>
          <w:lang w:val="hr-HR"/>
        </w:rPr>
        <w:t xml:space="preserve"> HNB</w:t>
      </w:r>
      <w:r w:rsidRPr="006B7122">
        <w:rPr>
          <w:i/>
          <w:sz w:val="20"/>
          <w:lang w:val="hr-HR"/>
        </w:rPr>
        <w:t>-a</w:t>
      </w:r>
      <w:r w:rsidR="00F03841" w:rsidRPr="006B7122">
        <w:rPr>
          <w:i/>
          <w:sz w:val="20"/>
          <w:lang w:val="hr-HR"/>
        </w:rPr>
        <w:t xml:space="preserve"> od 3</w:t>
      </w:r>
      <w:r w:rsidR="003452A3" w:rsidRPr="006B7122">
        <w:rPr>
          <w:i/>
          <w:sz w:val="20"/>
          <w:lang w:val="hr-HR"/>
        </w:rPr>
        <w:t>1. prosinca</w:t>
      </w:r>
      <w:r w:rsidR="00F03841" w:rsidRPr="006B7122">
        <w:rPr>
          <w:i/>
          <w:sz w:val="20"/>
          <w:lang w:val="hr-HR"/>
        </w:rPr>
        <w:t xml:space="preserve"> 201</w:t>
      </w:r>
      <w:r w:rsidR="006B7122" w:rsidRPr="006B7122">
        <w:rPr>
          <w:i/>
          <w:sz w:val="20"/>
          <w:lang w:val="hr-HR"/>
        </w:rPr>
        <w:t>8</w:t>
      </w:r>
      <w:r w:rsidR="00F03841" w:rsidRPr="006B7122">
        <w:rPr>
          <w:i/>
          <w:sz w:val="20"/>
          <w:lang w:val="hr-HR"/>
        </w:rPr>
        <w:t>.</w:t>
      </w:r>
    </w:p>
    <w:p w14:paraId="30F8707D" w14:textId="77777777" w:rsidR="00925806" w:rsidRPr="006B7122" w:rsidRDefault="00F03841" w:rsidP="00D77AFE">
      <w:pPr>
        <w:spacing w:line="276" w:lineRule="auto"/>
        <w:rPr>
          <w:i/>
          <w:sz w:val="20"/>
          <w:lang w:val="hr-HR"/>
        </w:rPr>
      </w:pPr>
      <w:r w:rsidRPr="006B7122">
        <w:rPr>
          <w:i/>
          <w:sz w:val="20"/>
          <w:lang w:val="hr-HR"/>
        </w:rPr>
        <w:t>Izvor: Ministarstvo financija</w:t>
      </w:r>
    </w:p>
    <w:p w14:paraId="460048C6" w14:textId="77777777" w:rsidR="0049708B" w:rsidRDefault="0049708B" w:rsidP="0049708B">
      <w:pPr>
        <w:spacing w:before="240" w:line="276" w:lineRule="auto"/>
        <w:jc w:val="both"/>
        <w:rPr>
          <w:sz w:val="24"/>
          <w:lang w:val="hr-HR"/>
        </w:rPr>
      </w:pPr>
      <w:r w:rsidRPr="00EB2E28">
        <w:rPr>
          <w:sz w:val="24"/>
          <w:lang w:val="hr-HR"/>
        </w:rPr>
        <w:t>Analitički pregled projekcija otplata unutarnjeg duga i međunarodnih obveznica u razdoblju 201</w:t>
      </w:r>
      <w:r w:rsidR="00EB2E28" w:rsidRPr="00EB2E28">
        <w:rPr>
          <w:sz w:val="24"/>
          <w:lang w:val="hr-HR"/>
        </w:rPr>
        <w:t>9</w:t>
      </w:r>
      <w:r w:rsidRPr="00EB2E28">
        <w:rPr>
          <w:sz w:val="24"/>
          <w:lang w:val="hr-HR"/>
        </w:rPr>
        <w:t xml:space="preserve">. - 2032. detaljno je iskazan u </w:t>
      </w:r>
      <w:r w:rsidR="00187016">
        <w:rPr>
          <w:sz w:val="24"/>
          <w:lang w:val="hr-HR"/>
        </w:rPr>
        <w:t>T</w:t>
      </w:r>
      <w:r w:rsidRPr="00EB2E28">
        <w:rPr>
          <w:sz w:val="24"/>
          <w:lang w:val="hr-HR"/>
        </w:rPr>
        <w:t>ablicama 11</w:t>
      </w:r>
      <w:r w:rsidR="00187016">
        <w:rPr>
          <w:sz w:val="24"/>
          <w:lang w:val="hr-HR"/>
        </w:rPr>
        <w:t>.</w:t>
      </w:r>
      <w:r w:rsidRPr="00EB2E28">
        <w:rPr>
          <w:sz w:val="24"/>
          <w:lang w:val="hr-HR"/>
        </w:rPr>
        <w:t xml:space="preserve"> i 12. U </w:t>
      </w:r>
      <w:r w:rsidR="00187016">
        <w:rPr>
          <w:sz w:val="24"/>
          <w:lang w:val="hr-HR"/>
        </w:rPr>
        <w:t>T</w:t>
      </w:r>
      <w:r w:rsidRPr="00EB2E28">
        <w:rPr>
          <w:sz w:val="24"/>
          <w:lang w:val="hr-HR"/>
        </w:rPr>
        <w:t>ablici 11</w:t>
      </w:r>
      <w:r w:rsidR="00187016">
        <w:rPr>
          <w:sz w:val="24"/>
          <w:lang w:val="hr-HR"/>
        </w:rPr>
        <w:t>.</w:t>
      </w:r>
      <w:r w:rsidRPr="00EB2E28">
        <w:rPr>
          <w:sz w:val="24"/>
          <w:lang w:val="hr-HR"/>
        </w:rPr>
        <w:t xml:space="preserve"> dane su projekcije otplate obveznica, kredita i kamata unutarnjeg duga iskazane u kunama.</w:t>
      </w:r>
      <w:r w:rsidRPr="0049708B">
        <w:rPr>
          <w:sz w:val="24"/>
          <w:lang w:val="hr-HR"/>
        </w:rPr>
        <w:t xml:space="preserve"> </w:t>
      </w:r>
    </w:p>
    <w:p w14:paraId="13F4AAD9" w14:textId="77777777" w:rsidR="005B7558" w:rsidRPr="00EB2E28" w:rsidRDefault="0035474D" w:rsidP="0035474D">
      <w:pPr>
        <w:pStyle w:val="Caption"/>
        <w:spacing w:before="240" w:line="276" w:lineRule="auto"/>
        <w:rPr>
          <w:i/>
          <w:sz w:val="24"/>
          <w:lang w:val="hr-HR"/>
        </w:rPr>
      </w:pPr>
      <w:bookmarkStart w:id="47" w:name="_Toc10032455"/>
      <w:r w:rsidRPr="00EB2E28">
        <w:rPr>
          <w:i/>
          <w:sz w:val="24"/>
          <w:lang w:val="hr-HR"/>
        </w:rPr>
        <w:t xml:space="preserve">Tablica </w:t>
      </w:r>
      <w:r w:rsidRPr="00EB2E28">
        <w:rPr>
          <w:i/>
          <w:sz w:val="24"/>
          <w:lang w:val="hr-HR"/>
        </w:rPr>
        <w:fldChar w:fldCharType="begin"/>
      </w:r>
      <w:r w:rsidRPr="00EB2E28">
        <w:rPr>
          <w:i/>
          <w:sz w:val="24"/>
          <w:lang w:val="hr-HR"/>
        </w:rPr>
        <w:instrText xml:space="preserve"> SEQ Tablica \* ARABIC </w:instrText>
      </w:r>
      <w:r w:rsidRPr="00EB2E28">
        <w:rPr>
          <w:i/>
          <w:sz w:val="24"/>
          <w:lang w:val="hr-HR"/>
        </w:rPr>
        <w:fldChar w:fldCharType="separate"/>
      </w:r>
      <w:r w:rsidR="00CE0BC8">
        <w:rPr>
          <w:i/>
          <w:noProof/>
          <w:sz w:val="24"/>
          <w:lang w:val="hr-HR"/>
        </w:rPr>
        <w:t>11</w:t>
      </w:r>
      <w:r w:rsidRPr="00EB2E28">
        <w:rPr>
          <w:i/>
          <w:sz w:val="24"/>
          <w:lang w:val="hr-HR"/>
        </w:rPr>
        <w:fldChar w:fldCharType="end"/>
      </w:r>
      <w:r w:rsidR="005B7558" w:rsidRPr="00EB2E28">
        <w:rPr>
          <w:i/>
          <w:sz w:val="24"/>
          <w:lang w:val="hr-HR"/>
        </w:rPr>
        <w:t>: Projekcija otplate unutarnjeg duga</w:t>
      </w:r>
      <w:r w:rsidR="00B31A0C" w:rsidRPr="00EB2E28">
        <w:rPr>
          <w:i/>
          <w:sz w:val="24"/>
          <w:lang w:val="hr-HR"/>
        </w:rPr>
        <w:t xml:space="preserve"> državnog proračuna</w:t>
      </w:r>
      <w:bookmarkEnd w:id="47"/>
    </w:p>
    <w:p w14:paraId="2C4B1549" w14:textId="77777777" w:rsidR="00925806" w:rsidRPr="00025326" w:rsidRDefault="00EB2E28" w:rsidP="0071007F">
      <w:pPr>
        <w:spacing w:line="276" w:lineRule="auto"/>
        <w:rPr>
          <w:highlight w:val="yellow"/>
          <w:lang w:val="hr-HR"/>
        </w:rPr>
      </w:pPr>
      <w:r w:rsidRPr="00EB2E28">
        <w:rPr>
          <w:noProof/>
          <w:lang w:val="hr-HR" w:eastAsia="hr-HR"/>
        </w:rPr>
        <w:drawing>
          <wp:inline distT="0" distB="0" distL="0" distR="0" wp14:anchorId="396A0472" wp14:editId="3339528C">
            <wp:extent cx="5759450" cy="3623200"/>
            <wp:effectExtent l="0" t="0" r="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3623200"/>
                    </a:xfrm>
                    <a:prstGeom prst="rect">
                      <a:avLst/>
                    </a:prstGeom>
                    <a:noFill/>
                    <a:ln>
                      <a:noFill/>
                    </a:ln>
                  </pic:spPr>
                </pic:pic>
              </a:graphicData>
            </a:graphic>
          </wp:inline>
        </w:drawing>
      </w:r>
    </w:p>
    <w:p w14:paraId="577C4BD0" w14:textId="77777777" w:rsidR="0071007F" w:rsidRPr="00EB2E28" w:rsidRDefault="0071007F" w:rsidP="0071007F">
      <w:pPr>
        <w:spacing w:line="276" w:lineRule="auto"/>
        <w:rPr>
          <w:i/>
          <w:sz w:val="20"/>
          <w:lang w:val="hr-HR"/>
        </w:rPr>
      </w:pPr>
      <w:r w:rsidRPr="00EB2E28">
        <w:rPr>
          <w:i/>
          <w:sz w:val="20"/>
          <w:lang w:val="hr-HR"/>
        </w:rPr>
        <w:t>*Srednji tečaj HNB od 31. prosinca 201</w:t>
      </w:r>
      <w:r w:rsidR="00EB2E28" w:rsidRPr="00EB2E28">
        <w:rPr>
          <w:i/>
          <w:sz w:val="20"/>
          <w:lang w:val="hr-HR"/>
        </w:rPr>
        <w:t>8</w:t>
      </w:r>
      <w:r w:rsidRPr="00EB2E28">
        <w:rPr>
          <w:i/>
          <w:sz w:val="20"/>
          <w:lang w:val="hr-HR"/>
        </w:rPr>
        <w:t>.</w:t>
      </w:r>
    </w:p>
    <w:p w14:paraId="5675508A" w14:textId="77777777" w:rsidR="00F03841" w:rsidRPr="00EB2E28" w:rsidRDefault="00F03841" w:rsidP="00F03841">
      <w:pPr>
        <w:spacing w:line="276" w:lineRule="auto"/>
        <w:rPr>
          <w:i/>
          <w:sz w:val="20"/>
          <w:lang w:val="hr-HR"/>
        </w:rPr>
      </w:pPr>
      <w:r w:rsidRPr="00EB2E28">
        <w:rPr>
          <w:i/>
          <w:sz w:val="20"/>
          <w:lang w:val="hr-HR"/>
        </w:rPr>
        <w:t>Izvor: Ministarstvo financija</w:t>
      </w:r>
    </w:p>
    <w:p w14:paraId="6D9FA023" w14:textId="77777777" w:rsidR="000C7EC1" w:rsidRDefault="000C7EC1" w:rsidP="000C7EC1">
      <w:pPr>
        <w:spacing w:before="240" w:line="276" w:lineRule="auto"/>
        <w:jc w:val="both"/>
        <w:rPr>
          <w:sz w:val="24"/>
          <w:lang w:val="hr-HR"/>
        </w:rPr>
      </w:pPr>
      <w:r w:rsidRPr="00EB2E28">
        <w:rPr>
          <w:sz w:val="24"/>
          <w:lang w:val="hr-HR"/>
        </w:rPr>
        <w:t xml:space="preserve">U </w:t>
      </w:r>
      <w:r w:rsidR="00187016">
        <w:rPr>
          <w:sz w:val="24"/>
          <w:lang w:val="hr-HR"/>
        </w:rPr>
        <w:t>T</w:t>
      </w:r>
      <w:r w:rsidRPr="00EB2E28">
        <w:rPr>
          <w:sz w:val="24"/>
          <w:lang w:val="hr-HR"/>
        </w:rPr>
        <w:t>ablici 12</w:t>
      </w:r>
      <w:r w:rsidR="00187016">
        <w:rPr>
          <w:sz w:val="24"/>
          <w:lang w:val="hr-HR"/>
        </w:rPr>
        <w:t>.</w:t>
      </w:r>
      <w:r w:rsidRPr="00EB2E28">
        <w:rPr>
          <w:sz w:val="24"/>
          <w:lang w:val="hr-HR"/>
        </w:rPr>
        <w:t xml:space="preserve"> dane su projekcije otplata glavnica i kamata međunarodnih obveznica gdje je izvorna valuta zaduživanja iskazana u eurima bez primjene valutnih </w:t>
      </w:r>
      <w:r w:rsidRPr="00EB2E28">
        <w:rPr>
          <w:i/>
          <w:sz w:val="24"/>
          <w:lang w:val="hr-HR"/>
        </w:rPr>
        <w:t>swap</w:t>
      </w:r>
      <w:r w:rsidRPr="00EB2E28">
        <w:rPr>
          <w:sz w:val="24"/>
          <w:lang w:val="hr-HR"/>
        </w:rPr>
        <w:t xml:space="preserve"> transakcija.</w:t>
      </w:r>
      <w:r w:rsidRPr="000C7EC1">
        <w:rPr>
          <w:sz w:val="24"/>
          <w:lang w:val="hr-HR"/>
        </w:rPr>
        <w:t xml:space="preserve"> </w:t>
      </w:r>
    </w:p>
    <w:p w14:paraId="1FCF4F09" w14:textId="77777777" w:rsidR="008B368B" w:rsidRPr="000C7EC1" w:rsidRDefault="008B368B" w:rsidP="000C7EC1">
      <w:pPr>
        <w:spacing w:before="240" w:line="276" w:lineRule="auto"/>
        <w:jc w:val="both"/>
        <w:rPr>
          <w:sz w:val="24"/>
          <w:lang w:val="hr-HR"/>
        </w:rPr>
      </w:pPr>
    </w:p>
    <w:p w14:paraId="6F17CA88" w14:textId="77777777" w:rsidR="005B7558" w:rsidRPr="00EB2E28" w:rsidRDefault="0035474D" w:rsidP="0035474D">
      <w:pPr>
        <w:pStyle w:val="Caption"/>
        <w:spacing w:before="240" w:line="276" w:lineRule="auto"/>
        <w:rPr>
          <w:i/>
          <w:sz w:val="24"/>
          <w:lang w:val="hr-HR"/>
        </w:rPr>
      </w:pPr>
      <w:bookmarkStart w:id="48" w:name="_Toc10032456"/>
      <w:r w:rsidRPr="00EB2E28">
        <w:rPr>
          <w:i/>
          <w:sz w:val="24"/>
          <w:lang w:val="hr-HR"/>
        </w:rPr>
        <w:lastRenderedPageBreak/>
        <w:t xml:space="preserve">Tablica </w:t>
      </w:r>
      <w:r w:rsidRPr="00EB2E28">
        <w:rPr>
          <w:i/>
          <w:sz w:val="24"/>
          <w:lang w:val="hr-HR"/>
        </w:rPr>
        <w:fldChar w:fldCharType="begin"/>
      </w:r>
      <w:r w:rsidRPr="00EB2E28">
        <w:rPr>
          <w:i/>
          <w:sz w:val="24"/>
          <w:lang w:val="hr-HR"/>
        </w:rPr>
        <w:instrText xml:space="preserve"> SEQ Tablica \* ARABIC </w:instrText>
      </w:r>
      <w:r w:rsidRPr="00EB2E28">
        <w:rPr>
          <w:i/>
          <w:sz w:val="24"/>
          <w:lang w:val="hr-HR"/>
        </w:rPr>
        <w:fldChar w:fldCharType="separate"/>
      </w:r>
      <w:r w:rsidR="00CE0BC8">
        <w:rPr>
          <w:i/>
          <w:noProof/>
          <w:sz w:val="24"/>
          <w:lang w:val="hr-HR"/>
        </w:rPr>
        <w:t>12</w:t>
      </w:r>
      <w:r w:rsidRPr="00EB2E28">
        <w:rPr>
          <w:i/>
          <w:sz w:val="24"/>
          <w:lang w:val="hr-HR"/>
        </w:rPr>
        <w:fldChar w:fldCharType="end"/>
      </w:r>
      <w:r w:rsidR="00665721" w:rsidRPr="00EB2E28">
        <w:rPr>
          <w:i/>
          <w:sz w:val="24"/>
          <w:lang w:val="hr-HR"/>
        </w:rPr>
        <w:t xml:space="preserve">: Projekcija otplata </w:t>
      </w:r>
      <w:r w:rsidR="005B7558" w:rsidRPr="00EB2E28">
        <w:rPr>
          <w:i/>
          <w:sz w:val="24"/>
          <w:lang w:val="hr-HR"/>
        </w:rPr>
        <w:t>međunarodnih obveznica Republike Hrvatske</w:t>
      </w:r>
      <w:bookmarkEnd w:id="48"/>
    </w:p>
    <w:p w14:paraId="7EC1C16F" w14:textId="77777777" w:rsidR="00925806" w:rsidRPr="00EB2E28" w:rsidRDefault="00EB2E28" w:rsidP="00F03841">
      <w:pPr>
        <w:spacing w:line="276" w:lineRule="auto"/>
        <w:rPr>
          <w:lang w:val="hr-HR"/>
        </w:rPr>
      </w:pPr>
      <w:r w:rsidRPr="00EB2E28">
        <w:rPr>
          <w:noProof/>
          <w:lang w:val="hr-HR" w:eastAsia="hr-HR"/>
        </w:rPr>
        <w:drawing>
          <wp:inline distT="0" distB="0" distL="0" distR="0" wp14:anchorId="39208320" wp14:editId="2F533A4B">
            <wp:extent cx="5759450" cy="2145319"/>
            <wp:effectExtent l="0" t="0" r="0" b="762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59450" cy="2145319"/>
                    </a:xfrm>
                    <a:prstGeom prst="rect">
                      <a:avLst/>
                    </a:prstGeom>
                    <a:noFill/>
                    <a:ln>
                      <a:noFill/>
                    </a:ln>
                  </pic:spPr>
                </pic:pic>
              </a:graphicData>
            </a:graphic>
          </wp:inline>
        </w:drawing>
      </w:r>
    </w:p>
    <w:p w14:paraId="6A26AD3E" w14:textId="77777777" w:rsidR="00F03841" w:rsidRPr="00EB2E28" w:rsidRDefault="00F03841" w:rsidP="00F03841">
      <w:pPr>
        <w:spacing w:line="276" w:lineRule="auto"/>
        <w:rPr>
          <w:i/>
          <w:sz w:val="20"/>
          <w:lang w:val="hr-HR"/>
        </w:rPr>
      </w:pPr>
      <w:r w:rsidRPr="00EB2E28">
        <w:rPr>
          <w:i/>
          <w:sz w:val="20"/>
          <w:lang w:val="hr-HR"/>
        </w:rPr>
        <w:t>* Srednji tečaj HNB-a 3</w:t>
      </w:r>
      <w:r w:rsidR="008A37EE" w:rsidRPr="00EB2E28">
        <w:rPr>
          <w:i/>
          <w:sz w:val="20"/>
          <w:lang w:val="hr-HR"/>
        </w:rPr>
        <w:t>1. prosinca</w:t>
      </w:r>
      <w:r w:rsidRPr="00EB2E28">
        <w:rPr>
          <w:i/>
          <w:sz w:val="20"/>
          <w:lang w:val="hr-HR"/>
        </w:rPr>
        <w:t xml:space="preserve"> 201</w:t>
      </w:r>
      <w:r w:rsidR="00EB2E28" w:rsidRPr="00EB2E28">
        <w:rPr>
          <w:i/>
          <w:sz w:val="20"/>
          <w:lang w:val="hr-HR"/>
        </w:rPr>
        <w:t>8</w:t>
      </w:r>
      <w:r w:rsidRPr="00EB2E28">
        <w:rPr>
          <w:i/>
          <w:sz w:val="20"/>
          <w:lang w:val="hr-HR"/>
        </w:rPr>
        <w:t>.</w:t>
      </w:r>
    </w:p>
    <w:p w14:paraId="68D10F58" w14:textId="77777777" w:rsidR="00F03841" w:rsidRPr="00EB2E28" w:rsidRDefault="00F03841" w:rsidP="00F03841">
      <w:pPr>
        <w:spacing w:line="276" w:lineRule="auto"/>
        <w:rPr>
          <w:i/>
          <w:sz w:val="20"/>
          <w:lang w:val="hr-HR"/>
        </w:rPr>
      </w:pPr>
      <w:r w:rsidRPr="00EB2E28">
        <w:rPr>
          <w:i/>
          <w:sz w:val="20"/>
          <w:lang w:val="hr-HR"/>
        </w:rPr>
        <w:t>Izvor: Ministarstvo financija</w:t>
      </w:r>
    </w:p>
    <w:p w14:paraId="37468B6B" w14:textId="77777777" w:rsidR="0015425D" w:rsidRPr="001620A1" w:rsidRDefault="0015425D" w:rsidP="0015425D">
      <w:pPr>
        <w:spacing w:before="240" w:line="276" w:lineRule="auto"/>
        <w:jc w:val="both"/>
        <w:rPr>
          <w:sz w:val="24"/>
          <w:lang w:val="hr-HR"/>
        </w:rPr>
      </w:pPr>
      <w:r w:rsidRPr="001620A1">
        <w:rPr>
          <w:sz w:val="24"/>
          <w:lang w:val="hr-HR"/>
        </w:rPr>
        <w:t>Pregled aktivnih obveznica RH (</w:t>
      </w:r>
      <w:r w:rsidR="00187016">
        <w:rPr>
          <w:sz w:val="24"/>
          <w:lang w:val="hr-HR"/>
        </w:rPr>
        <w:t>T</w:t>
      </w:r>
      <w:r w:rsidRPr="001620A1">
        <w:rPr>
          <w:sz w:val="24"/>
          <w:lang w:val="hr-HR"/>
        </w:rPr>
        <w:t>ablica 13</w:t>
      </w:r>
      <w:r w:rsidR="00187016">
        <w:rPr>
          <w:sz w:val="24"/>
          <w:lang w:val="hr-HR"/>
        </w:rPr>
        <w:t>.</w:t>
      </w:r>
      <w:r w:rsidRPr="001620A1">
        <w:rPr>
          <w:sz w:val="24"/>
          <w:lang w:val="hr-HR"/>
        </w:rPr>
        <w:t xml:space="preserve">) daje prikaz obveznica izdanih na domaćem i međunarodnom tržištu u </w:t>
      </w:r>
      <w:r w:rsidRPr="00BD7E6E">
        <w:rPr>
          <w:sz w:val="24"/>
          <w:lang w:val="hr-HR"/>
        </w:rPr>
        <w:t xml:space="preserve">razdoblju od studenog 2004. do </w:t>
      </w:r>
      <w:r>
        <w:rPr>
          <w:sz w:val="24"/>
          <w:lang w:val="hr-HR"/>
        </w:rPr>
        <w:t>svibnja</w:t>
      </w:r>
      <w:r w:rsidRPr="00BD7E6E">
        <w:rPr>
          <w:sz w:val="24"/>
          <w:lang w:val="hr-HR"/>
        </w:rPr>
        <w:t xml:space="preserve"> 201</w:t>
      </w:r>
      <w:r>
        <w:rPr>
          <w:sz w:val="24"/>
          <w:lang w:val="hr-HR"/>
        </w:rPr>
        <w:t>9</w:t>
      </w:r>
      <w:r w:rsidRPr="00BD7E6E">
        <w:rPr>
          <w:sz w:val="24"/>
          <w:lang w:val="hr-HR"/>
        </w:rPr>
        <w:t>.</w:t>
      </w:r>
      <w:r w:rsidRPr="001620A1">
        <w:rPr>
          <w:sz w:val="24"/>
          <w:lang w:val="hr-HR"/>
        </w:rPr>
        <w:t xml:space="preserve"> i dospijećima od </w:t>
      </w:r>
      <w:r>
        <w:rPr>
          <w:sz w:val="24"/>
          <w:lang w:val="hr-HR"/>
        </w:rPr>
        <w:t>studenoga</w:t>
      </w:r>
      <w:r w:rsidRPr="001620A1">
        <w:rPr>
          <w:sz w:val="24"/>
          <w:lang w:val="hr-HR"/>
        </w:rPr>
        <w:t xml:space="preserve"> 201</w:t>
      </w:r>
      <w:r>
        <w:rPr>
          <w:sz w:val="24"/>
          <w:lang w:val="hr-HR"/>
        </w:rPr>
        <w:t>9</w:t>
      </w:r>
      <w:r w:rsidRPr="001620A1">
        <w:rPr>
          <w:sz w:val="24"/>
          <w:lang w:val="hr-HR"/>
        </w:rPr>
        <w:t>. do srpnja 2032. Uz svaku pojedinačnu seriju obveznice naznačen je datum izdavanja, valuta i iznos izdanja te kamatna stopa i datum dospijeća otplate.</w:t>
      </w:r>
    </w:p>
    <w:p w14:paraId="285F69A7" w14:textId="77777777" w:rsidR="008341DF" w:rsidRPr="00EB2E28" w:rsidRDefault="0035474D" w:rsidP="0035474D">
      <w:pPr>
        <w:pStyle w:val="Caption"/>
        <w:spacing w:before="240" w:line="276" w:lineRule="auto"/>
        <w:rPr>
          <w:i/>
          <w:sz w:val="24"/>
          <w:lang w:val="hr-HR"/>
        </w:rPr>
      </w:pPr>
      <w:bookmarkStart w:id="49" w:name="_Toc10032457"/>
      <w:r w:rsidRPr="00EB2E28">
        <w:rPr>
          <w:i/>
          <w:sz w:val="24"/>
          <w:lang w:val="hr-HR"/>
        </w:rPr>
        <w:t xml:space="preserve">Tablica </w:t>
      </w:r>
      <w:r w:rsidRPr="00EB2E28">
        <w:rPr>
          <w:i/>
          <w:sz w:val="24"/>
          <w:lang w:val="hr-HR"/>
        </w:rPr>
        <w:fldChar w:fldCharType="begin"/>
      </w:r>
      <w:r w:rsidRPr="00EB2E28">
        <w:rPr>
          <w:i/>
          <w:sz w:val="24"/>
          <w:lang w:val="hr-HR"/>
        </w:rPr>
        <w:instrText xml:space="preserve"> SEQ Tablica \* ARABIC </w:instrText>
      </w:r>
      <w:r w:rsidRPr="00EB2E28">
        <w:rPr>
          <w:i/>
          <w:sz w:val="24"/>
          <w:lang w:val="hr-HR"/>
        </w:rPr>
        <w:fldChar w:fldCharType="separate"/>
      </w:r>
      <w:r w:rsidR="00CE0BC8">
        <w:rPr>
          <w:i/>
          <w:noProof/>
          <w:sz w:val="24"/>
          <w:lang w:val="hr-HR"/>
        </w:rPr>
        <w:t>13</w:t>
      </w:r>
      <w:r w:rsidRPr="00EB2E28">
        <w:rPr>
          <w:i/>
          <w:sz w:val="24"/>
          <w:lang w:val="hr-HR"/>
        </w:rPr>
        <w:fldChar w:fldCharType="end"/>
      </w:r>
      <w:r w:rsidR="008341DF" w:rsidRPr="00EB2E28">
        <w:rPr>
          <w:i/>
          <w:sz w:val="24"/>
          <w:lang w:val="hr-HR"/>
        </w:rPr>
        <w:t>: Pregled aktivnih obveznica Republike Hrvatske</w:t>
      </w:r>
      <w:r w:rsidR="00EB2E28">
        <w:rPr>
          <w:i/>
          <w:sz w:val="24"/>
          <w:lang w:val="hr-HR"/>
        </w:rPr>
        <w:t>, na dan 10. svibnja 2019.</w:t>
      </w:r>
      <w:bookmarkEnd w:id="49"/>
    </w:p>
    <w:p w14:paraId="6F650714" w14:textId="77777777" w:rsidR="00925806" w:rsidRPr="00EB2E28" w:rsidRDefault="00EB2E28" w:rsidP="00450F0D">
      <w:pPr>
        <w:rPr>
          <w:lang w:val="hr-HR"/>
        </w:rPr>
      </w:pPr>
      <w:r w:rsidRPr="00EB2E28">
        <w:rPr>
          <w:noProof/>
          <w:lang w:val="hr-HR" w:eastAsia="hr-HR"/>
        </w:rPr>
        <w:drawing>
          <wp:inline distT="0" distB="0" distL="0" distR="0" wp14:anchorId="26F016A8" wp14:editId="63A1E27A">
            <wp:extent cx="5759450" cy="4158064"/>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4158064"/>
                    </a:xfrm>
                    <a:prstGeom prst="rect">
                      <a:avLst/>
                    </a:prstGeom>
                    <a:noFill/>
                    <a:ln>
                      <a:noFill/>
                    </a:ln>
                  </pic:spPr>
                </pic:pic>
              </a:graphicData>
            </a:graphic>
          </wp:inline>
        </w:drawing>
      </w:r>
    </w:p>
    <w:p w14:paraId="11CD7B30" w14:textId="77777777" w:rsidR="00F03841" w:rsidRDefault="00F03841" w:rsidP="00F03841">
      <w:pPr>
        <w:spacing w:line="276" w:lineRule="auto"/>
        <w:rPr>
          <w:i/>
          <w:sz w:val="20"/>
          <w:lang w:val="hr-HR"/>
        </w:rPr>
      </w:pPr>
      <w:r w:rsidRPr="00EB2E28">
        <w:rPr>
          <w:i/>
          <w:sz w:val="20"/>
          <w:lang w:val="hr-HR"/>
        </w:rPr>
        <w:t>Izvor: Ministarstvo financija</w:t>
      </w:r>
    </w:p>
    <w:p w14:paraId="12FB89BA" w14:textId="77777777" w:rsidR="0015425D" w:rsidRPr="001620A1" w:rsidRDefault="0015425D" w:rsidP="0015425D">
      <w:pPr>
        <w:spacing w:before="240" w:line="276" w:lineRule="auto"/>
        <w:jc w:val="both"/>
        <w:rPr>
          <w:color w:val="000000" w:themeColor="text1"/>
          <w:sz w:val="24"/>
          <w:lang w:val="hr-HR"/>
        </w:rPr>
      </w:pPr>
      <w:r w:rsidRPr="001620A1">
        <w:rPr>
          <w:sz w:val="24"/>
          <w:lang w:val="hr-HR"/>
        </w:rPr>
        <w:lastRenderedPageBreak/>
        <w:t>Kretanje premije osiguranja od kreditnog rizika (</w:t>
      </w:r>
      <w:r w:rsidRPr="001620A1">
        <w:rPr>
          <w:i/>
          <w:sz w:val="24"/>
          <w:lang w:val="hr-HR"/>
        </w:rPr>
        <w:t>Credit Default Swap</w:t>
      </w:r>
      <w:r w:rsidRPr="001620A1">
        <w:rPr>
          <w:sz w:val="24"/>
          <w:lang w:val="hr-HR"/>
        </w:rPr>
        <w:t xml:space="preserve">, CDS 5Y – </w:t>
      </w:r>
      <w:r w:rsidR="00187016">
        <w:rPr>
          <w:sz w:val="24"/>
          <w:lang w:val="hr-HR"/>
        </w:rPr>
        <w:t>G</w:t>
      </w:r>
      <w:r w:rsidRPr="001620A1">
        <w:rPr>
          <w:sz w:val="24"/>
          <w:lang w:val="hr-HR"/>
        </w:rPr>
        <w:t>rafikon 1</w:t>
      </w:r>
      <w:r>
        <w:rPr>
          <w:sz w:val="24"/>
          <w:lang w:val="hr-HR"/>
        </w:rPr>
        <w:t>2</w:t>
      </w:r>
      <w:r w:rsidR="00187016">
        <w:rPr>
          <w:sz w:val="24"/>
          <w:lang w:val="hr-HR"/>
        </w:rPr>
        <w:t>.</w:t>
      </w:r>
      <w:r w:rsidRPr="001620A1">
        <w:rPr>
          <w:sz w:val="24"/>
          <w:lang w:val="hr-HR"/>
        </w:rPr>
        <w:t>) za RH u razdoblju 201</w:t>
      </w:r>
      <w:r>
        <w:rPr>
          <w:sz w:val="24"/>
          <w:lang w:val="hr-HR"/>
        </w:rPr>
        <w:t>5</w:t>
      </w:r>
      <w:r w:rsidRPr="001620A1">
        <w:rPr>
          <w:sz w:val="24"/>
          <w:lang w:val="hr-HR"/>
        </w:rPr>
        <w:t>. - 201</w:t>
      </w:r>
      <w:r>
        <w:rPr>
          <w:sz w:val="24"/>
          <w:lang w:val="hr-HR"/>
        </w:rPr>
        <w:t>9</w:t>
      </w:r>
      <w:r w:rsidRPr="001620A1">
        <w:rPr>
          <w:sz w:val="24"/>
          <w:lang w:val="hr-HR"/>
        </w:rPr>
        <w:t xml:space="preserve">. ukazuje da </w:t>
      </w:r>
      <w:r>
        <w:rPr>
          <w:sz w:val="24"/>
          <w:lang w:val="hr-HR"/>
        </w:rPr>
        <w:t xml:space="preserve">se u posljednje dvije godine </w:t>
      </w:r>
      <w:r w:rsidRPr="001620A1">
        <w:rPr>
          <w:sz w:val="24"/>
          <w:lang w:val="hr-HR"/>
        </w:rPr>
        <w:t xml:space="preserve">njezina visina </w:t>
      </w:r>
      <w:r>
        <w:rPr>
          <w:sz w:val="24"/>
          <w:lang w:val="hr-HR"/>
        </w:rPr>
        <w:t xml:space="preserve">približava </w:t>
      </w:r>
      <w:r w:rsidRPr="001620A1">
        <w:rPr>
          <w:sz w:val="24"/>
          <w:lang w:val="hr-HR"/>
        </w:rPr>
        <w:t>premij</w:t>
      </w:r>
      <w:r>
        <w:rPr>
          <w:sz w:val="24"/>
          <w:lang w:val="hr-HR"/>
        </w:rPr>
        <w:t>ama</w:t>
      </w:r>
      <w:r w:rsidRPr="001620A1">
        <w:rPr>
          <w:sz w:val="24"/>
          <w:lang w:val="hr-HR"/>
        </w:rPr>
        <w:t xml:space="preserve"> usporedivih zemalja iz </w:t>
      </w:r>
      <w:r w:rsidRPr="001620A1">
        <w:rPr>
          <w:color w:val="000000" w:themeColor="text1"/>
          <w:sz w:val="24"/>
          <w:lang w:val="hr-HR"/>
        </w:rPr>
        <w:t>središnje i istočne Europe.</w:t>
      </w:r>
    </w:p>
    <w:p w14:paraId="56DF5B44" w14:textId="77777777" w:rsidR="00B94BB7" w:rsidRPr="00EB2E28" w:rsidRDefault="00F03841" w:rsidP="00E35B9C">
      <w:pPr>
        <w:pStyle w:val="Caption"/>
        <w:spacing w:before="240" w:line="276" w:lineRule="auto"/>
        <w:rPr>
          <w:bCs w:val="0"/>
          <w:i/>
          <w:sz w:val="24"/>
          <w:lang w:val="hr-HR"/>
        </w:rPr>
      </w:pPr>
      <w:bookmarkStart w:id="50" w:name="_Toc10032470"/>
      <w:r w:rsidRPr="00EB2E28">
        <w:rPr>
          <w:bCs w:val="0"/>
          <w:i/>
          <w:sz w:val="24"/>
          <w:lang w:val="hr-HR"/>
        </w:rPr>
        <w:t xml:space="preserve">Grafikon </w:t>
      </w:r>
      <w:r w:rsidRPr="00EB2E28">
        <w:rPr>
          <w:bCs w:val="0"/>
          <w:i/>
          <w:sz w:val="24"/>
          <w:lang w:val="hr-HR"/>
        </w:rPr>
        <w:fldChar w:fldCharType="begin"/>
      </w:r>
      <w:r w:rsidRPr="00EB2E28">
        <w:rPr>
          <w:bCs w:val="0"/>
          <w:i/>
          <w:sz w:val="24"/>
          <w:lang w:val="hr-HR"/>
        </w:rPr>
        <w:instrText xml:space="preserve"> SEQ Grafikon \* ARABIC </w:instrText>
      </w:r>
      <w:r w:rsidRPr="00EB2E28">
        <w:rPr>
          <w:bCs w:val="0"/>
          <w:i/>
          <w:sz w:val="24"/>
          <w:lang w:val="hr-HR"/>
        </w:rPr>
        <w:fldChar w:fldCharType="separate"/>
      </w:r>
      <w:r w:rsidR="00CE0BC8">
        <w:rPr>
          <w:bCs w:val="0"/>
          <w:i/>
          <w:noProof/>
          <w:sz w:val="24"/>
          <w:lang w:val="hr-HR"/>
        </w:rPr>
        <w:t>12</w:t>
      </w:r>
      <w:r w:rsidRPr="00EB2E28">
        <w:rPr>
          <w:bCs w:val="0"/>
          <w:i/>
          <w:sz w:val="24"/>
          <w:lang w:val="hr-HR"/>
        </w:rPr>
        <w:fldChar w:fldCharType="end"/>
      </w:r>
      <w:r w:rsidRPr="00EB2E28">
        <w:rPr>
          <w:bCs w:val="0"/>
          <w:i/>
          <w:sz w:val="24"/>
          <w:lang w:val="hr-HR"/>
        </w:rPr>
        <w:t xml:space="preserve">: </w:t>
      </w:r>
      <w:r w:rsidR="0085794F" w:rsidRPr="00EB2E28">
        <w:rPr>
          <w:bCs w:val="0"/>
          <w:i/>
          <w:sz w:val="24"/>
          <w:lang w:val="hr-HR"/>
        </w:rPr>
        <w:t>Kretanje premije osiguranja od kreditnog rizika (Credit Default Swap, CDS 5Y) za RH i usporedne države EU u razdoblju 201</w:t>
      </w:r>
      <w:r w:rsidR="00EB2E28">
        <w:rPr>
          <w:bCs w:val="0"/>
          <w:i/>
          <w:sz w:val="24"/>
          <w:lang w:val="hr-HR"/>
        </w:rPr>
        <w:t>5</w:t>
      </w:r>
      <w:r w:rsidR="0085794F" w:rsidRPr="00EB2E28">
        <w:rPr>
          <w:bCs w:val="0"/>
          <w:i/>
          <w:sz w:val="24"/>
          <w:lang w:val="hr-HR"/>
        </w:rPr>
        <w:t>. - 201</w:t>
      </w:r>
      <w:r w:rsidR="00EB2E28">
        <w:rPr>
          <w:bCs w:val="0"/>
          <w:i/>
          <w:sz w:val="24"/>
          <w:lang w:val="hr-HR"/>
        </w:rPr>
        <w:t>9</w:t>
      </w:r>
      <w:r w:rsidR="0085794F" w:rsidRPr="00EB2E28">
        <w:rPr>
          <w:bCs w:val="0"/>
          <w:i/>
          <w:sz w:val="24"/>
          <w:lang w:val="hr-HR"/>
        </w:rPr>
        <w:t>.</w:t>
      </w:r>
      <w:bookmarkEnd w:id="50"/>
    </w:p>
    <w:p w14:paraId="51BD3078" w14:textId="77777777" w:rsidR="00925806" w:rsidRPr="00EB2E28" w:rsidRDefault="00EB2E28" w:rsidP="00E35B9C">
      <w:pPr>
        <w:spacing w:line="276" w:lineRule="auto"/>
        <w:rPr>
          <w:lang w:val="hr-HR"/>
        </w:rPr>
      </w:pPr>
      <w:r>
        <w:rPr>
          <w:noProof/>
          <w:lang w:val="hr-HR" w:eastAsia="hr-HR"/>
        </w:rPr>
        <w:drawing>
          <wp:inline distT="0" distB="0" distL="0" distR="0" wp14:anchorId="547A4C0B" wp14:editId="72C42726">
            <wp:extent cx="5867400" cy="3390900"/>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78659" cy="3397407"/>
                    </a:xfrm>
                    <a:prstGeom prst="rect">
                      <a:avLst/>
                    </a:prstGeom>
                    <a:noFill/>
                  </pic:spPr>
                </pic:pic>
              </a:graphicData>
            </a:graphic>
          </wp:inline>
        </w:drawing>
      </w:r>
    </w:p>
    <w:p w14:paraId="61F95398" w14:textId="77777777" w:rsidR="00C72D51" w:rsidRPr="00025326" w:rsidRDefault="00F03841" w:rsidP="009515C6">
      <w:pPr>
        <w:spacing w:line="276" w:lineRule="auto"/>
        <w:rPr>
          <w:i/>
          <w:sz w:val="20"/>
          <w:highlight w:val="yellow"/>
          <w:lang w:val="hr-HR"/>
        </w:rPr>
      </w:pPr>
      <w:r w:rsidRPr="00EB2E28">
        <w:rPr>
          <w:i/>
          <w:sz w:val="20"/>
          <w:lang w:val="hr-HR"/>
        </w:rPr>
        <w:t>Izvor: Ministarstvo financija, Bloomberg</w:t>
      </w:r>
      <w:r w:rsidR="00463CF8" w:rsidRPr="00025326">
        <w:rPr>
          <w:i/>
          <w:sz w:val="20"/>
          <w:highlight w:val="yellow"/>
          <w:lang w:val="hr-HR"/>
        </w:rPr>
        <w:br w:type="page"/>
      </w:r>
    </w:p>
    <w:p w14:paraId="3508CC8E" w14:textId="77777777" w:rsidR="00C72D51" w:rsidRPr="0034555B" w:rsidRDefault="004C2E26" w:rsidP="004C2E26">
      <w:pPr>
        <w:pStyle w:val="Heading1"/>
        <w:numPr>
          <w:ilvl w:val="0"/>
          <w:numId w:val="1"/>
        </w:numPr>
        <w:spacing w:line="276" w:lineRule="auto"/>
        <w:jc w:val="both"/>
        <w:rPr>
          <w:lang w:val="hr-HR"/>
        </w:rPr>
      </w:pPr>
      <w:bookmarkStart w:id="51" w:name="_Toc512494889"/>
      <w:bookmarkStart w:id="52" w:name="_Toc10032439"/>
      <w:r w:rsidRPr="0034555B">
        <w:rPr>
          <w:lang w:val="hr-HR"/>
        </w:rPr>
        <w:lastRenderedPageBreak/>
        <w:t>FISKALNI RIZICI I TESTOVI OSJETLJIVOSTI KRETANJA JAVNOG DUGA</w:t>
      </w:r>
      <w:bookmarkEnd w:id="51"/>
      <w:bookmarkEnd w:id="52"/>
    </w:p>
    <w:p w14:paraId="2D9C315D" w14:textId="77777777" w:rsidR="00E35B9C" w:rsidRPr="003E4C0F" w:rsidRDefault="00E35B9C" w:rsidP="003E4C0F">
      <w:pPr>
        <w:pStyle w:val="Caption"/>
        <w:spacing w:before="240" w:line="276" w:lineRule="auto"/>
        <w:rPr>
          <w:bCs w:val="0"/>
          <w:sz w:val="24"/>
          <w:lang w:val="hr-HR"/>
        </w:rPr>
      </w:pPr>
    </w:p>
    <w:p w14:paraId="5C1E8517" w14:textId="77777777" w:rsidR="00ED22D0" w:rsidRPr="00ED22D0" w:rsidRDefault="00ED22D0" w:rsidP="00ED22D0">
      <w:pPr>
        <w:spacing w:before="240" w:line="276" w:lineRule="auto"/>
        <w:jc w:val="both"/>
        <w:rPr>
          <w:sz w:val="24"/>
          <w:lang w:val="hr-HR"/>
        </w:rPr>
      </w:pPr>
      <w:r w:rsidRPr="00ED22D0">
        <w:rPr>
          <w:sz w:val="24"/>
          <w:lang w:val="hr-HR"/>
        </w:rPr>
        <w:t xml:space="preserve">Fiskalne projekcije za srednjoročno razdoblje naslanjaju se na makroekonomske pretpostavke te bi, u tom smislu, rizici povezani s nižom razinom gospodarske aktivnosti u odnosu na predstavljeni makroekonomski scenarij u ovom programu imali značajne implikacije na očekivano kretanje i rezultate fiskalnih veličina, posebice prihoda od poreza i doprinosa u nadolazećem razdoblju, što bi dovelo do izravnog utjecaja na visinu salda proračuna opće države. </w:t>
      </w:r>
    </w:p>
    <w:p w14:paraId="19E4A810" w14:textId="77777777" w:rsidR="00ED22D0" w:rsidRPr="00ED22D0" w:rsidRDefault="00BB2FC1" w:rsidP="00ED22D0">
      <w:pPr>
        <w:spacing w:before="240" w:line="276" w:lineRule="auto"/>
        <w:jc w:val="both"/>
        <w:rPr>
          <w:sz w:val="24"/>
          <w:lang w:val="hr-HR"/>
        </w:rPr>
      </w:pPr>
      <w:r>
        <w:rPr>
          <w:sz w:val="24"/>
          <w:lang w:val="hr-HR"/>
        </w:rPr>
        <w:t>M</w:t>
      </w:r>
      <w:r w:rsidR="00ED22D0" w:rsidRPr="00ED22D0">
        <w:rPr>
          <w:sz w:val="24"/>
          <w:lang w:val="hr-HR"/>
        </w:rPr>
        <w:t xml:space="preserve">irovinski sustav RH suočava </w:t>
      </w:r>
      <w:r w:rsidRPr="00ED22D0">
        <w:rPr>
          <w:sz w:val="24"/>
          <w:lang w:val="hr-HR"/>
        </w:rPr>
        <w:t xml:space="preserve">se </w:t>
      </w:r>
      <w:r w:rsidR="00ED22D0" w:rsidRPr="00ED22D0">
        <w:rPr>
          <w:sz w:val="24"/>
          <w:lang w:val="hr-HR"/>
        </w:rPr>
        <w:t xml:space="preserve">s vrlo nepovoljnim demografskim trendovima koji se prvenstveno odnose na starenje stanovništva, ali i na emigracijske pritiske s kojima se RH suočava. Nastavak takvih trendova stvorio bi dodatan pritisak na sustav generacijske solidarnosti što bi moglo imati negativan učinak na održivost javnih financija u dugom roku. Osim toga, stanje dospjelih nepodmirenih obveza u zdravstvenom sustavu predstavlja dodatan fiskalni rizik koji je potrebno adresirati u što kraćem roku provedbom mjera usmjerenih racionalizaciji bolničkog sustava i promicanju fiskalno odgovornog upravljanja u bolnicama kako bi se postigla dugoročna financijska i operativna održivost poslovanja bolnica. </w:t>
      </w:r>
    </w:p>
    <w:p w14:paraId="74102615" w14:textId="61AF3F16" w:rsidR="00ED22D0" w:rsidRPr="00ED22D0" w:rsidRDefault="00ED22D0" w:rsidP="00ED22D0">
      <w:pPr>
        <w:spacing w:before="240" w:line="276" w:lineRule="auto"/>
        <w:jc w:val="both"/>
        <w:rPr>
          <w:sz w:val="24"/>
          <w:lang w:val="hr-HR"/>
        </w:rPr>
      </w:pPr>
      <w:r w:rsidRPr="00ED22D0">
        <w:rPr>
          <w:sz w:val="24"/>
          <w:lang w:val="hr-HR"/>
        </w:rPr>
        <w:t xml:space="preserve">Premda je javni dug u protekle tri godine smanjen za više od 9 postotnih bodova, njegova visoka razina od 284,7 milijardi kuna i dalje predstavlja izvor ranjivosti za hrvatsko gospodarstvo. Naime, s obzirom na visinu duga, dugoročno povećanje referentnih tržišnih kamatnih stopa predstavljalo bi znatnu prijetnju fiskalnoj održivosti. Povećanje troška financiranja dovelo bi do visokih troškova servisiranja duga čime bi nastao i pritisak na tekuće poslovanje države. Tako bi u scenariju povećanja prosječne implicitne kamatne stope na dug za 2 postotna boda u razdoblju 2019. - </w:t>
      </w:r>
      <w:r w:rsidR="007206D0" w:rsidRPr="00ED22D0">
        <w:rPr>
          <w:sz w:val="24"/>
          <w:lang w:val="hr-HR"/>
        </w:rPr>
        <w:t>202</w:t>
      </w:r>
      <w:r w:rsidR="007206D0">
        <w:rPr>
          <w:sz w:val="24"/>
          <w:lang w:val="hr-HR"/>
        </w:rPr>
        <w:t>1</w:t>
      </w:r>
      <w:r w:rsidRPr="00ED22D0">
        <w:rPr>
          <w:sz w:val="24"/>
          <w:lang w:val="hr-HR"/>
        </w:rPr>
        <w:t xml:space="preserve">., javni dug zabilježio rast iznad projiciranog te bi krajem projekcijskog razdoblja bio veći za </w:t>
      </w:r>
      <w:r w:rsidR="007206D0">
        <w:rPr>
          <w:sz w:val="24"/>
          <w:lang w:val="hr-HR"/>
        </w:rPr>
        <w:t>5,5</w:t>
      </w:r>
      <w:r w:rsidRPr="00ED22D0">
        <w:rPr>
          <w:sz w:val="24"/>
          <w:lang w:val="hr-HR"/>
        </w:rPr>
        <w:t xml:space="preserve"> </w:t>
      </w:r>
      <w:r w:rsidR="007206D0" w:rsidRPr="00ED22D0">
        <w:rPr>
          <w:sz w:val="24"/>
          <w:lang w:val="hr-HR"/>
        </w:rPr>
        <w:t>postotn</w:t>
      </w:r>
      <w:r w:rsidR="007206D0">
        <w:rPr>
          <w:sz w:val="24"/>
          <w:lang w:val="hr-HR"/>
        </w:rPr>
        <w:t>ih</w:t>
      </w:r>
      <w:r w:rsidR="007206D0" w:rsidRPr="00ED22D0">
        <w:rPr>
          <w:sz w:val="24"/>
          <w:lang w:val="hr-HR"/>
        </w:rPr>
        <w:t xml:space="preserve"> </w:t>
      </w:r>
      <w:r w:rsidRPr="00ED22D0">
        <w:rPr>
          <w:sz w:val="24"/>
          <w:lang w:val="hr-HR"/>
        </w:rPr>
        <w:t>bod</w:t>
      </w:r>
      <w:r w:rsidR="007206D0">
        <w:rPr>
          <w:sz w:val="24"/>
          <w:lang w:val="hr-HR"/>
        </w:rPr>
        <w:t>ov</w:t>
      </w:r>
      <w:r w:rsidRPr="00ED22D0">
        <w:rPr>
          <w:sz w:val="24"/>
          <w:lang w:val="hr-HR"/>
        </w:rPr>
        <w:t xml:space="preserve">a nego u osnovnom scenariju, odnosno dosegao bi razinu </w:t>
      </w:r>
      <w:r w:rsidR="007206D0">
        <w:rPr>
          <w:sz w:val="24"/>
          <w:lang w:val="hr-HR"/>
        </w:rPr>
        <w:t>o</w:t>
      </w:r>
      <w:r w:rsidRPr="00ED22D0">
        <w:rPr>
          <w:sz w:val="24"/>
          <w:lang w:val="hr-HR"/>
        </w:rPr>
        <w:t xml:space="preserve">d </w:t>
      </w:r>
      <w:r w:rsidR="007206D0">
        <w:rPr>
          <w:sz w:val="24"/>
          <w:lang w:val="hr-HR"/>
        </w:rPr>
        <w:t>70,9</w:t>
      </w:r>
      <w:r w:rsidRPr="00ED22D0">
        <w:rPr>
          <w:sz w:val="24"/>
          <w:lang w:val="hr-HR"/>
        </w:rPr>
        <w:t>% BDP-a.</w:t>
      </w:r>
    </w:p>
    <w:p w14:paraId="2A91DD48" w14:textId="77777777" w:rsidR="00ED22D0" w:rsidRPr="00ED22D0" w:rsidRDefault="00ED22D0" w:rsidP="00ED22D0">
      <w:pPr>
        <w:spacing w:before="240" w:line="276" w:lineRule="auto"/>
        <w:jc w:val="both"/>
        <w:rPr>
          <w:sz w:val="24"/>
          <w:lang w:val="hr-HR"/>
        </w:rPr>
      </w:pPr>
      <w:r w:rsidRPr="00ED22D0">
        <w:rPr>
          <w:sz w:val="24"/>
          <w:lang w:val="hr-HR"/>
        </w:rPr>
        <w:t>Nadalje, visok udio javnog duga denominiranog u eurima (71,</w:t>
      </w:r>
      <w:r w:rsidR="00BB2FC1">
        <w:rPr>
          <w:sz w:val="24"/>
          <w:lang w:val="hr-HR"/>
        </w:rPr>
        <w:t>3</w:t>
      </w:r>
      <w:r w:rsidRPr="00ED22D0">
        <w:rPr>
          <w:sz w:val="24"/>
          <w:lang w:val="hr-HR"/>
        </w:rPr>
        <w:t>%) ukazuje kako je kretanje duga podložno tečajnom riziku. Iz provedenog testa osjetljivosti proizlazi da bi deprecijacija kune prema euru od 20% podigla razinu javnog duga na 81,8% BDP-a u 2019. godini, odnosno javni dug bi bio veći za 10,2 postotna boda u odnosu na osnovni scenarij.</w:t>
      </w:r>
    </w:p>
    <w:p w14:paraId="38E2CB21" w14:textId="77777777" w:rsidR="00ED22D0" w:rsidRDefault="00ED22D0" w:rsidP="00ED22D0">
      <w:pPr>
        <w:spacing w:before="240" w:line="276" w:lineRule="auto"/>
        <w:jc w:val="both"/>
        <w:rPr>
          <w:sz w:val="24"/>
          <w:lang w:val="hr-HR"/>
        </w:rPr>
      </w:pPr>
      <w:r w:rsidRPr="00ED22D0">
        <w:rPr>
          <w:sz w:val="24"/>
          <w:lang w:val="hr-HR"/>
        </w:rPr>
        <w:t xml:space="preserve">Iako se RH nalazi pri dnu po visini potencijalnih obveza u usporedbi s ostalim zemljama članicama EU, takve obveze i dalje predstavljaju potencijalno veliki rizik za javne financije. Takav rizik materijalizirao se u 2018. godini kada je RH na ime protestiranih jamstava za Uljanik grupu, sukladno metodologiji ESA 2010, reklasificirala cjelokupan jamčeni dug Uljanik grupe od 4,4 milijarde kuna u javni dug, čime je došlo do jednokratnog povećanja razine </w:t>
      </w:r>
      <w:r w:rsidRPr="00ED22D0">
        <w:rPr>
          <w:sz w:val="24"/>
          <w:lang w:val="hr-HR"/>
        </w:rPr>
        <w:lastRenderedPageBreak/>
        <w:t xml:space="preserve">javnog duga. Tako bi u pretpostavljenom scenariju preuzimanja jamstava u javni dug u iznosu od 2% BDP-a, javni dug dostigao razinu od 73,7% BDP-a u 2019. godini. </w:t>
      </w:r>
    </w:p>
    <w:p w14:paraId="6F977EC3" w14:textId="77777777" w:rsidR="00146648" w:rsidRPr="00ED22D0" w:rsidRDefault="00146648" w:rsidP="003E4C0F">
      <w:pPr>
        <w:pStyle w:val="Caption"/>
        <w:keepNext/>
        <w:spacing w:before="240" w:line="276" w:lineRule="auto"/>
        <w:jc w:val="both"/>
        <w:rPr>
          <w:i/>
          <w:sz w:val="24"/>
          <w:szCs w:val="24"/>
          <w:lang w:val="hr-HR"/>
        </w:rPr>
      </w:pPr>
      <w:bookmarkStart w:id="53" w:name="_Toc10032471"/>
      <w:r w:rsidRPr="00ED22D0">
        <w:rPr>
          <w:i/>
          <w:sz w:val="24"/>
          <w:szCs w:val="24"/>
          <w:lang w:val="hr-HR"/>
        </w:rPr>
        <w:t xml:space="preserve">Grafikon </w:t>
      </w:r>
      <w:r w:rsidRPr="00ED22D0">
        <w:rPr>
          <w:i/>
          <w:sz w:val="24"/>
          <w:szCs w:val="24"/>
          <w:lang w:val="hr-HR"/>
        </w:rPr>
        <w:fldChar w:fldCharType="begin"/>
      </w:r>
      <w:r w:rsidRPr="00ED22D0">
        <w:rPr>
          <w:i/>
          <w:sz w:val="24"/>
          <w:szCs w:val="24"/>
          <w:lang w:val="hr-HR"/>
        </w:rPr>
        <w:instrText xml:space="preserve"> SEQ Grafikon \* ARABIC </w:instrText>
      </w:r>
      <w:r w:rsidRPr="00ED22D0">
        <w:rPr>
          <w:i/>
          <w:sz w:val="24"/>
          <w:szCs w:val="24"/>
          <w:lang w:val="hr-HR"/>
        </w:rPr>
        <w:fldChar w:fldCharType="separate"/>
      </w:r>
      <w:r w:rsidR="00CE0BC8">
        <w:rPr>
          <w:i/>
          <w:noProof/>
          <w:sz w:val="24"/>
          <w:szCs w:val="24"/>
          <w:lang w:val="hr-HR"/>
        </w:rPr>
        <w:t>13</w:t>
      </w:r>
      <w:r w:rsidRPr="00ED22D0">
        <w:rPr>
          <w:i/>
          <w:sz w:val="24"/>
          <w:szCs w:val="24"/>
          <w:lang w:val="hr-HR"/>
        </w:rPr>
        <w:fldChar w:fldCharType="end"/>
      </w:r>
      <w:r w:rsidRPr="00ED22D0">
        <w:rPr>
          <w:i/>
          <w:sz w:val="24"/>
          <w:szCs w:val="24"/>
          <w:lang w:val="hr-HR"/>
        </w:rPr>
        <w:t>: Kretanje udjela javnog duga u BDP-u prema određenim scenarijima</w:t>
      </w:r>
      <w:bookmarkEnd w:id="53"/>
    </w:p>
    <w:p w14:paraId="13EB725C" w14:textId="7B05A516" w:rsidR="00BA03AA" w:rsidRPr="00ED22D0" w:rsidRDefault="00BA03AA" w:rsidP="004C2E26">
      <w:pPr>
        <w:spacing w:line="240" w:lineRule="auto"/>
        <w:jc w:val="both"/>
        <w:rPr>
          <w:i/>
          <w:sz w:val="20"/>
          <w:lang w:val="hr-HR"/>
        </w:rPr>
      </w:pPr>
      <w:r w:rsidRPr="00BA03AA">
        <w:rPr>
          <w:noProof/>
          <w:lang w:val="hr-HR" w:eastAsia="hr-HR"/>
        </w:rPr>
        <w:drawing>
          <wp:inline distT="0" distB="0" distL="0" distR="0" wp14:anchorId="0FCEA00F" wp14:editId="22A2D771">
            <wp:extent cx="5759450" cy="3177478"/>
            <wp:effectExtent l="0" t="0" r="0" b="444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59450" cy="3177478"/>
                    </a:xfrm>
                    <a:prstGeom prst="rect">
                      <a:avLst/>
                    </a:prstGeom>
                    <a:noFill/>
                    <a:ln>
                      <a:noFill/>
                    </a:ln>
                  </pic:spPr>
                </pic:pic>
              </a:graphicData>
            </a:graphic>
          </wp:inline>
        </w:drawing>
      </w:r>
    </w:p>
    <w:p w14:paraId="33327902" w14:textId="77777777" w:rsidR="004C2E26" w:rsidRPr="00ED22D0" w:rsidRDefault="004C2E26" w:rsidP="004C2E26">
      <w:pPr>
        <w:spacing w:line="240" w:lineRule="auto"/>
        <w:jc w:val="both"/>
        <w:rPr>
          <w:i/>
          <w:sz w:val="20"/>
          <w:lang w:val="hr-HR"/>
        </w:rPr>
      </w:pPr>
      <w:r w:rsidRPr="00ED22D0">
        <w:rPr>
          <w:i/>
          <w:sz w:val="20"/>
          <w:lang w:val="hr-HR"/>
        </w:rPr>
        <w:t>Izvor: Ministarstvo financija</w:t>
      </w:r>
    </w:p>
    <w:p w14:paraId="325900F8" w14:textId="6B69FC20" w:rsidR="003B26B9" w:rsidRPr="00CE0BC8" w:rsidRDefault="003B26B9" w:rsidP="00A52A3A">
      <w:pPr>
        <w:spacing w:before="240" w:after="240" w:line="276" w:lineRule="auto"/>
        <w:jc w:val="both"/>
        <w:rPr>
          <w:sz w:val="24"/>
          <w:lang w:val="hr-HR"/>
        </w:rPr>
      </w:pPr>
      <w:r w:rsidRPr="00CE0BC8">
        <w:rPr>
          <w:sz w:val="24"/>
          <w:lang w:val="hr-HR"/>
        </w:rPr>
        <w:t xml:space="preserve">Pozicioniranje upravljanja javnim dugom i ublažavanja identificiranih rizika odvija se u uvjetima </w:t>
      </w:r>
      <w:r w:rsidR="00FD1DCA" w:rsidRPr="00CE0BC8">
        <w:rPr>
          <w:sz w:val="24"/>
          <w:lang w:val="hr-HR"/>
        </w:rPr>
        <w:t xml:space="preserve">projekcije nastavka </w:t>
      </w:r>
      <w:r w:rsidRPr="00CE0BC8">
        <w:rPr>
          <w:sz w:val="24"/>
          <w:lang w:val="hr-HR"/>
        </w:rPr>
        <w:t>pozitivnih</w:t>
      </w:r>
      <w:r w:rsidR="00FD1DCA" w:rsidRPr="00CE0BC8">
        <w:rPr>
          <w:sz w:val="24"/>
          <w:lang w:val="hr-HR"/>
        </w:rPr>
        <w:t xml:space="preserve"> makroekonomskih i fiskalnih kretanja, koji bi trebali kompenzirati potencijalna</w:t>
      </w:r>
      <w:r w:rsidRPr="00CE0BC8">
        <w:rPr>
          <w:sz w:val="24"/>
          <w:lang w:val="hr-HR"/>
        </w:rPr>
        <w:t xml:space="preserve"> </w:t>
      </w:r>
      <w:r w:rsidR="00FD1DCA" w:rsidRPr="00CE0BC8">
        <w:rPr>
          <w:sz w:val="24"/>
          <w:lang w:val="hr-HR"/>
        </w:rPr>
        <w:t xml:space="preserve">negativna </w:t>
      </w:r>
      <w:r w:rsidRPr="00CE0BC8">
        <w:rPr>
          <w:sz w:val="24"/>
          <w:lang w:val="hr-HR"/>
        </w:rPr>
        <w:t xml:space="preserve">kretanja iz globalnog okruženja. </w:t>
      </w:r>
      <w:r w:rsidR="008B5D07" w:rsidRPr="00CE0BC8">
        <w:rPr>
          <w:sz w:val="24"/>
          <w:lang w:val="hr-HR"/>
        </w:rPr>
        <w:t>U narednom razdoblju ekonomska politika Vlade RH usmjerit će se na tri stupa: visoko-kvalitetne investicije, učinkovite strukturne reforme te makroekonomsku stabilnost i održive javne financije.</w:t>
      </w:r>
    </w:p>
    <w:p w14:paraId="1B86E943" w14:textId="77777777" w:rsidR="003B26B9" w:rsidRPr="00CE0BC8" w:rsidRDefault="003B26B9" w:rsidP="00C3530B">
      <w:pPr>
        <w:spacing w:line="276" w:lineRule="auto"/>
        <w:jc w:val="both"/>
        <w:rPr>
          <w:sz w:val="24"/>
          <w:lang w:val="hr-HR"/>
        </w:rPr>
      </w:pPr>
      <w:r w:rsidRPr="00CE0BC8">
        <w:rPr>
          <w:sz w:val="24"/>
          <w:lang w:val="hr-HR"/>
        </w:rPr>
        <w:t xml:space="preserve">Ipak, </w:t>
      </w:r>
      <w:r w:rsidR="00A52A3A" w:rsidRPr="00CE0BC8">
        <w:rPr>
          <w:sz w:val="24"/>
          <w:lang w:val="hr-HR"/>
        </w:rPr>
        <w:t xml:space="preserve">kako je bilo previđeno i u prošlogodišnjoj Strategiji, </w:t>
      </w:r>
      <w:r w:rsidRPr="00CE0BC8">
        <w:rPr>
          <w:sz w:val="24"/>
          <w:lang w:val="hr-HR"/>
        </w:rPr>
        <w:t>očekuje se pozitivna diverzifikacija za RH koja će djelomično ublažiti negativne posljedice globalnih kretanja, a temeljeno na:</w:t>
      </w:r>
    </w:p>
    <w:p w14:paraId="21AF678A" w14:textId="77777777" w:rsidR="003B26B9" w:rsidRPr="00CE0BC8" w:rsidRDefault="003B26B9" w:rsidP="003B26B9">
      <w:pPr>
        <w:pStyle w:val="ListParagraph"/>
        <w:numPr>
          <w:ilvl w:val="0"/>
          <w:numId w:val="6"/>
        </w:numPr>
        <w:spacing w:after="240" w:line="276" w:lineRule="auto"/>
        <w:jc w:val="both"/>
        <w:rPr>
          <w:sz w:val="24"/>
          <w:lang w:val="hr-HR"/>
        </w:rPr>
      </w:pPr>
      <w:r w:rsidRPr="00CE0BC8">
        <w:rPr>
          <w:sz w:val="24"/>
          <w:lang w:val="hr-HR"/>
        </w:rPr>
        <w:t>pozitivnoj dinamici domaćih gospodarskih kretanja i rastu BDP-a</w:t>
      </w:r>
      <w:r w:rsidR="00C3530B" w:rsidRPr="00CE0BC8">
        <w:rPr>
          <w:sz w:val="24"/>
          <w:lang w:val="hr-HR"/>
        </w:rPr>
        <w:t>,</w:t>
      </w:r>
    </w:p>
    <w:p w14:paraId="6123D573" w14:textId="77777777" w:rsidR="003B26B9" w:rsidRPr="00CE0BC8" w:rsidRDefault="003B26B9" w:rsidP="003B26B9">
      <w:pPr>
        <w:pStyle w:val="ListParagraph"/>
        <w:numPr>
          <w:ilvl w:val="0"/>
          <w:numId w:val="6"/>
        </w:numPr>
        <w:spacing w:after="240" w:line="276" w:lineRule="auto"/>
        <w:jc w:val="both"/>
        <w:rPr>
          <w:sz w:val="24"/>
          <w:lang w:val="hr-HR"/>
        </w:rPr>
      </w:pPr>
      <w:r w:rsidRPr="00CE0BC8">
        <w:rPr>
          <w:sz w:val="24"/>
          <w:lang w:val="hr-HR"/>
        </w:rPr>
        <w:t xml:space="preserve">dugoročnoj valutnoj stabilnosti i ostvarenom </w:t>
      </w:r>
      <w:r w:rsidR="00A52A3A" w:rsidRPr="00CE0BC8">
        <w:rPr>
          <w:sz w:val="24"/>
          <w:lang w:val="hr-HR"/>
        </w:rPr>
        <w:t>peto</w:t>
      </w:r>
      <w:r w:rsidRPr="00CE0BC8">
        <w:rPr>
          <w:sz w:val="24"/>
          <w:lang w:val="hr-HR"/>
        </w:rPr>
        <w:t>godišnjem višku bilance plaćanja</w:t>
      </w:r>
      <w:r w:rsidR="00C3530B" w:rsidRPr="00CE0BC8">
        <w:rPr>
          <w:sz w:val="24"/>
          <w:lang w:val="hr-HR"/>
        </w:rPr>
        <w:t>,</w:t>
      </w:r>
    </w:p>
    <w:p w14:paraId="36C07F16" w14:textId="77777777" w:rsidR="003B26B9" w:rsidRPr="00CE0BC8" w:rsidRDefault="003B26B9" w:rsidP="003B26B9">
      <w:pPr>
        <w:pStyle w:val="ListParagraph"/>
        <w:numPr>
          <w:ilvl w:val="0"/>
          <w:numId w:val="6"/>
        </w:numPr>
        <w:spacing w:after="240" w:line="276" w:lineRule="auto"/>
        <w:jc w:val="both"/>
        <w:rPr>
          <w:sz w:val="24"/>
          <w:lang w:val="hr-HR"/>
        </w:rPr>
      </w:pPr>
      <w:r w:rsidRPr="00CE0BC8">
        <w:rPr>
          <w:sz w:val="24"/>
          <w:lang w:val="hr-HR"/>
        </w:rPr>
        <w:t>uspješnoj fiskalnoj konsolidaciji i smanjenju udjela javnog duga u BDP-u</w:t>
      </w:r>
      <w:r w:rsidR="00C3530B" w:rsidRPr="00CE0BC8">
        <w:rPr>
          <w:sz w:val="24"/>
          <w:lang w:val="hr-HR"/>
        </w:rPr>
        <w:t>,</w:t>
      </w:r>
    </w:p>
    <w:p w14:paraId="11D82E76" w14:textId="77777777" w:rsidR="003B26B9" w:rsidRPr="00CE0BC8" w:rsidRDefault="003B26B9" w:rsidP="003B26B9">
      <w:pPr>
        <w:pStyle w:val="ListParagraph"/>
        <w:numPr>
          <w:ilvl w:val="0"/>
          <w:numId w:val="6"/>
        </w:numPr>
        <w:spacing w:after="240" w:line="276" w:lineRule="auto"/>
        <w:jc w:val="both"/>
        <w:rPr>
          <w:sz w:val="24"/>
          <w:lang w:val="hr-HR"/>
        </w:rPr>
      </w:pPr>
      <w:r w:rsidRPr="00CE0BC8">
        <w:rPr>
          <w:sz w:val="24"/>
          <w:lang w:val="hr-HR"/>
        </w:rPr>
        <w:t>razmjerno dubokom i visoko likvidnom domaćem financijskom tržištu koje pokriva</w:t>
      </w:r>
      <w:r w:rsidR="00C3530B" w:rsidRPr="00CE0BC8">
        <w:rPr>
          <w:sz w:val="24"/>
          <w:lang w:val="hr-HR"/>
        </w:rPr>
        <w:t>,</w:t>
      </w:r>
      <w:r w:rsidRPr="00CE0BC8">
        <w:rPr>
          <w:sz w:val="24"/>
          <w:lang w:val="hr-HR"/>
        </w:rPr>
        <w:t xml:space="preserve"> najveći dio ukupnih financijskih potreba države</w:t>
      </w:r>
      <w:r w:rsidR="00A52A3A" w:rsidRPr="00CE0BC8">
        <w:rPr>
          <w:sz w:val="24"/>
          <w:lang w:val="hr-HR"/>
        </w:rPr>
        <w:t xml:space="preserve"> te</w:t>
      </w:r>
    </w:p>
    <w:p w14:paraId="2D7B1293" w14:textId="77777777" w:rsidR="003B26B9" w:rsidRPr="00CE0BC8" w:rsidRDefault="003B26B9" w:rsidP="003B26B9">
      <w:pPr>
        <w:pStyle w:val="ListParagraph"/>
        <w:numPr>
          <w:ilvl w:val="0"/>
          <w:numId w:val="6"/>
        </w:numPr>
        <w:spacing w:after="240" w:line="276" w:lineRule="auto"/>
        <w:jc w:val="both"/>
        <w:rPr>
          <w:sz w:val="24"/>
          <w:lang w:val="hr-HR"/>
        </w:rPr>
      </w:pPr>
      <w:r w:rsidRPr="00CE0BC8">
        <w:rPr>
          <w:sz w:val="24"/>
          <w:lang w:val="hr-HR"/>
        </w:rPr>
        <w:t xml:space="preserve">dostupnosti i sve većem </w:t>
      </w:r>
      <w:r w:rsidR="00B6303B">
        <w:rPr>
          <w:sz w:val="24"/>
          <w:lang w:val="hr-HR"/>
        </w:rPr>
        <w:t>opsegu</w:t>
      </w:r>
      <w:r w:rsidR="00B6303B" w:rsidRPr="00CE0BC8">
        <w:rPr>
          <w:sz w:val="24"/>
          <w:lang w:val="hr-HR"/>
        </w:rPr>
        <w:t xml:space="preserve"> </w:t>
      </w:r>
      <w:r w:rsidRPr="00CE0BC8">
        <w:rPr>
          <w:sz w:val="24"/>
          <w:lang w:val="hr-HR"/>
        </w:rPr>
        <w:t>korištenja EU fondova.</w:t>
      </w:r>
    </w:p>
    <w:p w14:paraId="65846399" w14:textId="77777777" w:rsidR="003B26B9" w:rsidRPr="00CE0BC8" w:rsidRDefault="003B26B9" w:rsidP="003B26B9">
      <w:pPr>
        <w:spacing w:after="240" w:line="276" w:lineRule="auto"/>
        <w:jc w:val="both"/>
        <w:rPr>
          <w:sz w:val="24"/>
          <w:lang w:val="hr-HR"/>
        </w:rPr>
      </w:pPr>
      <w:r w:rsidRPr="00CE0BC8">
        <w:rPr>
          <w:sz w:val="24"/>
          <w:lang w:val="hr-HR"/>
        </w:rPr>
        <w:t xml:space="preserve">Navedeni čimbenici razumno bi trebali minimizirati negativne učinke vanjskog okruženja za koje je i dosadašnja politika upravljanja javnim dugom provodila adekvatne politike strukturiranja portfelja, naročito na dijelu izravnog državnog duga čije se otplate izvršavaju iz državnog proračuna. </w:t>
      </w:r>
    </w:p>
    <w:p w14:paraId="22EDC863" w14:textId="77777777" w:rsidR="00DD3C81" w:rsidRDefault="00DD3C81" w:rsidP="003B26B9">
      <w:pPr>
        <w:spacing w:after="240" w:line="276" w:lineRule="auto"/>
        <w:jc w:val="both"/>
        <w:rPr>
          <w:sz w:val="24"/>
          <w:highlight w:val="yellow"/>
          <w:lang w:val="hr-HR"/>
        </w:rPr>
      </w:pPr>
    </w:p>
    <w:p w14:paraId="172D55B5" w14:textId="77777777" w:rsidR="00D33C9B" w:rsidRPr="00317BE0" w:rsidRDefault="00D33C9B" w:rsidP="00D33C9B">
      <w:pPr>
        <w:pStyle w:val="Caption"/>
        <w:spacing w:before="240" w:line="276" w:lineRule="auto"/>
        <w:rPr>
          <w:i/>
          <w:sz w:val="24"/>
          <w:lang w:val="hr-HR"/>
        </w:rPr>
      </w:pPr>
      <w:bookmarkStart w:id="54" w:name="_Toc10032458"/>
      <w:r w:rsidRPr="00317BE0">
        <w:rPr>
          <w:i/>
          <w:sz w:val="24"/>
          <w:lang w:val="hr-HR"/>
        </w:rPr>
        <w:lastRenderedPageBreak/>
        <w:t xml:space="preserve">Tablica </w:t>
      </w:r>
      <w:r w:rsidRPr="00317BE0">
        <w:rPr>
          <w:i/>
          <w:sz w:val="24"/>
          <w:lang w:val="hr-HR"/>
        </w:rPr>
        <w:fldChar w:fldCharType="begin"/>
      </w:r>
      <w:r w:rsidRPr="00317BE0">
        <w:rPr>
          <w:i/>
          <w:sz w:val="24"/>
          <w:lang w:val="hr-HR"/>
        </w:rPr>
        <w:instrText xml:space="preserve"> SEQ Tablica \* ARABIC </w:instrText>
      </w:r>
      <w:r w:rsidRPr="00317BE0">
        <w:rPr>
          <w:i/>
          <w:sz w:val="24"/>
          <w:lang w:val="hr-HR"/>
        </w:rPr>
        <w:fldChar w:fldCharType="separate"/>
      </w:r>
      <w:r w:rsidR="00CE0BC8">
        <w:rPr>
          <w:i/>
          <w:noProof/>
          <w:sz w:val="24"/>
          <w:lang w:val="hr-HR"/>
        </w:rPr>
        <w:t>14</w:t>
      </w:r>
      <w:r w:rsidRPr="00317BE0">
        <w:rPr>
          <w:i/>
          <w:sz w:val="24"/>
          <w:lang w:val="hr-HR"/>
        </w:rPr>
        <w:fldChar w:fldCharType="end"/>
      </w:r>
      <w:r w:rsidRPr="00317BE0">
        <w:rPr>
          <w:i/>
          <w:sz w:val="24"/>
          <w:lang w:val="hr-HR"/>
        </w:rPr>
        <w:t>: Stanje i projekcija kretanja referent</w:t>
      </w:r>
      <w:r w:rsidR="008B2643" w:rsidRPr="00317BE0">
        <w:rPr>
          <w:i/>
          <w:sz w:val="24"/>
          <w:lang w:val="hr-HR"/>
        </w:rPr>
        <w:t>n</w:t>
      </w:r>
      <w:r w:rsidRPr="00317BE0">
        <w:rPr>
          <w:i/>
          <w:sz w:val="24"/>
          <w:lang w:val="hr-HR"/>
        </w:rPr>
        <w:t>ih pokazatelja strukture duga državnog proračuna</w:t>
      </w:r>
      <w:bookmarkEnd w:id="54"/>
      <w:r w:rsidR="00AC5B61" w:rsidRPr="00317BE0">
        <w:rPr>
          <w:i/>
          <w:sz w:val="24"/>
          <w:lang w:val="hr-HR"/>
        </w:rPr>
        <w:t xml:space="preserve"> </w:t>
      </w:r>
    </w:p>
    <w:p w14:paraId="413DCF21" w14:textId="77777777" w:rsidR="00F86D93" w:rsidRPr="00025326" w:rsidRDefault="00317BE0" w:rsidP="00F86D93">
      <w:pPr>
        <w:rPr>
          <w:highlight w:val="yellow"/>
          <w:lang w:val="hr-HR"/>
        </w:rPr>
      </w:pPr>
      <w:r w:rsidRPr="00317BE0">
        <w:rPr>
          <w:noProof/>
          <w:lang w:val="hr-HR" w:eastAsia="hr-HR"/>
        </w:rPr>
        <w:drawing>
          <wp:inline distT="0" distB="0" distL="0" distR="0" wp14:anchorId="35292545" wp14:editId="06879506">
            <wp:extent cx="5759450" cy="228611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2286110"/>
                    </a:xfrm>
                    <a:prstGeom prst="rect">
                      <a:avLst/>
                    </a:prstGeom>
                    <a:noFill/>
                    <a:ln>
                      <a:noFill/>
                    </a:ln>
                  </pic:spPr>
                </pic:pic>
              </a:graphicData>
            </a:graphic>
          </wp:inline>
        </w:drawing>
      </w:r>
    </w:p>
    <w:p w14:paraId="7B3FFEAD" w14:textId="77777777" w:rsidR="00D33C9B" w:rsidRPr="00317BE0" w:rsidRDefault="00D33C9B" w:rsidP="00D33C9B">
      <w:pPr>
        <w:spacing w:line="276" w:lineRule="auto"/>
        <w:rPr>
          <w:i/>
          <w:sz w:val="20"/>
          <w:lang w:val="hr-HR"/>
        </w:rPr>
      </w:pPr>
      <w:r w:rsidRPr="00317BE0">
        <w:rPr>
          <w:i/>
          <w:sz w:val="20"/>
          <w:lang w:val="hr-HR"/>
        </w:rPr>
        <w:t>Izvor: Ministarstvo financija</w:t>
      </w:r>
    </w:p>
    <w:p w14:paraId="611A1CF2" w14:textId="77777777" w:rsidR="00830AB6" w:rsidRDefault="00830AB6" w:rsidP="00E35B9C">
      <w:pPr>
        <w:spacing w:before="240" w:after="240" w:line="276" w:lineRule="auto"/>
        <w:jc w:val="both"/>
        <w:rPr>
          <w:sz w:val="24"/>
          <w:lang w:val="hr-HR"/>
        </w:rPr>
      </w:pPr>
      <w:r w:rsidRPr="00CE0BC8">
        <w:rPr>
          <w:sz w:val="24"/>
          <w:lang w:val="hr-HR"/>
        </w:rPr>
        <w:t>Provedbom elemenata koji su navedeni u ovoj Strategiji osigurat će se unaprjeđenje održivosti ukupnog javnog duga, a istovremeno ublažiti i s njim povezani rizici. Izvršenje navedenih zadaća pridonijet će nastavku vođenja održive, razumne i uravnotežene fi</w:t>
      </w:r>
      <w:r w:rsidR="00711F15" w:rsidRPr="00CE0BC8">
        <w:rPr>
          <w:sz w:val="24"/>
          <w:lang w:val="hr-HR"/>
        </w:rPr>
        <w:t>skalne politike, čime će se stvoriti preduvjeti za daljnje smanjenje fiskalnih neravnoteža i tereta duga.</w:t>
      </w:r>
    </w:p>
    <w:p w14:paraId="41D5518C" w14:textId="77777777" w:rsidR="00E5098F" w:rsidRPr="001620A1" w:rsidRDefault="00E5098F" w:rsidP="00D33C9B">
      <w:pPr>
        <w:spacing w:after="240" w:line="276" w:lineRule="auto"/>
        <w:jc w:val="both"/>
        <w:rPr>
          <w:sz w:val="24"/>
          <w:lang w:val="hr-HR"/>
        </w:rPr>
      </w:pPr>
    </w:p>
    <w:sectPr w:rsidR="00E5098F" w:rsidRPr="001620A1" w:rsidSect="00823B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F88C8" w14:textId="77777777" w:rsidR="006D348B" w:rsidRDefault="006D348B" w:rsidP="002B3ABB">
      <w:pPr>
        <w:spacing w:line="240" w:lineRule="auto"/>
      </w:pPr>
      <w:r>
        <w:separator/>
      </w:r>
    </w:p>
  </w:endnote>
  <w:endnote w:type="continuationSeparator" w:id="0">
    <w:p w14:paraId="02AB525A" w14:textId="77777777" w:rsidR="006D348B" w:rsidRDefault="006D348B" w:rsidP="002B3ABB">
      <w:pPr>
        <w:spacing w:line="240" w:lineRule="auto"/>
      </w:pPr>
      <w:r>
        <w:continuationSeparator/>
      </w:r>
    </w:p>
  </w:endnote>
  <w:endnote w:type="continuationNotice" w:id="1">
    <w:p w14:paraId="18C452A8" w14:textId="77777777" w:rsidR="006D348B" w:rsidRDefault="006D3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43457"/>
      <w:docPartObj>
        <w:docPartGallery w:val="Page Numbers (Bottom of Page)"/>
        <w:docPartUnique/>
      </w:docPartObj>
    </w:sdtPr>
    <w:sdtEndPr>
      <w:rPr>
        <w:noProof/>
      </w:rPr>
    </w:sdtEndPr>
    <w:sdtContent>
      <w:p w14:paraId="379169BA" w14:textId="06032DA4" w:rsidR="006656F9" w:rsidRDefault="006656F9">
        <w:pPr>
          <w:pStyle w:val="Footer"/>
          <w:jc w:val="center"/>
        </w:pPr>
        <w:r>
          <w:fldChar w:fldCharType="begin"/>
        </w:r>
        <w:r>
          <w:instrText xml:space="preserve"> PAGE   \* MERGEFORMAT </w:instrText>
        </w:r>
        <w:r>
          <w:fldChar w:fldCharType="separate"/>
        </w:r>
        <w:r w:rsidR="002576E0">
          <w:rPr>
            <w:noProof/>
          </w:rPr>
          <w:t>1</w:t>
        </w:r>
        <w:r>
          <w:rPr>
            <w:noProof/>
          </w:rPr>
          <w:fldChar w:fldCharType="end"/>
        </w:r>
      </w:p>
    </w:sdtContent>
  </w:sdt>
  <w:p w14:paraId="6091C382" w14:textId="77777777" w:rsidR="006656F9" w:rsidRDefault="0066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ACA97" w14:textId="77777777" w:rsidR="006D348B" w:rsidRDefault="006D348B" w:rsidP="002B3ABB">
      <w:pPr>
        <w:spacing w:line="240" w:lineRule="auto"/>
      </w:pPr>
      <w:r>
        <w:separator/>
      </w:r>
    </w:p>
  </w:footnote>
  <w:footnote w:type="continuationSeparator" w:id="0">
    <w:p w14:paraId="564C05F1" w14:textId="77777777" w:rsidR="006D348B" w:rsidRDefault="006D348B" w:rsidP="002B3ABB">
      <w:pPr>
        <w:spacing w:line="240" w:lineRule="auto"/>
      </w:pPr>
      <w:r>
        <w:continuationSeparator/>
      </w:r>
    </w:p>
  </w:footnote>
  <w:footnote w:type="continuationNotice" w:id="1">
    <w:p w14:paraId="5C3B5E25" w14:textId="77777777" w:rsidR="006D348B" w:rsidRDefault="006D348B">
      <w:pPr>
        <w:spacing w:line="240" w:lineRule="auto"/>
      </w:pPr>
    </w:p>
  </w:footnote>
  <w:footnote w:id="2">
    <w:p w14:paraId="2FA63556" w14:textId="77777777" w:rsidR="006656F9" w:rsidRPr="00DF23F9" w:rsidRDefault="006656F9" w:rsidP="00A40D2A">
      <w:pPr>
        <w:pStyle w:val="FootnoteText"/>
        <w:spacing w:line="276" w:lineRule="auto"/>
        <w:rPr>
          <w:rFonts w:asciiTheme="minorHAnsi" w:hAnsiTheme="minorHAnsi"/>
          <w:sz w:val="18"/>
        </w:rPr>
      </w:pPr>
      <w:r w:rsidRPr="00DF23F9">
        <w:rPr>
          <w:rStyle w:val="FootnoteReference"/>
          <w:rFonts w:asciiTheme="minorHAnsi" w:hAnsiTheme="minorHAnsi"/>
          <w:sz w:val="18"/>
        </w:rPr>
        <w:footnoteRef/>
      </w:r>
      <w:r w:rsidRPr="00DF23F9">
        <w:rPr>
          <w:rFonts w:asciiTheme="minorHAnsi" w:hAnsiTheme="minorHAnsi"/>
          <w:sz w:val="18"/>
        </w:rPr>
        <w:t xml:space="preserve"> Narodne novine, broj 87/08, 136/12 i 15/15</w:t>
      </w:r>
    </w:p>
  </w:footnote>
  <w:footnote w:id="3">
    <w:p w14:paraId="1658F70A" w14:textId="77777777" w:rsidR="006656F9" w:rsidRPr="00DF23F9" w:rsidRDefault="006656F9" w:rsidP="002F293E">
      <w:pPr>
        <w:pStyle w:val="FootnoteText"/>
        <w:spacing w:line="240" w:lineRule="auto"/>
        <w:rPr>
          <w:rFonts w:asciiTheme="minorHAnsi" w:hAnsiTheme="minorHAnsi"/>
          <w:sz w:val="18"/>
          <w:szCs w:val="18"/>
        </w:rPr>
      </w:pPr>
      <w:r w:rsidRPr="00DF23F9">
        <w:rPr>
          <w:rStyle w:val="FootnoteReference"/>
          <w:rFonts w:asciiTheme="minorHAnsi" w:hAnsiTheme="minorHAnsi"/>
          <w:sz w:val="18"/>
          <w:szCs w:val="18"/>
        </w:rPr>
        <w:footnoteRef/>
      </w:r>
      <w:r w:rsidRPr="00DF23F9">
        <w:rPr>
          <w:rFonts w:asciiTheme="minorHAnsi" w:hAnsiTheme="minorHAnsi"/>
          <w:sz w:val="18"/>
          <w:szCs w:val="18"/>
        </w:rPr>
        <w:t xml:space="preserve"> Narodne novine, broj 113/2018</w:t>
      </w:r>
    </w:p>
  </w:footnote>
  <w:footnote w:id="4">
    <w:p w14:paraId="6E0A0974" w14:textId="77777777" w:rsidR="006656F9" w:rsidRPr="00DF23F9" w:rsidRDefault="006656F9" w:rsidP="003A5A5F">
      <w:pPr>
        <w:pStyle w:val="FootnoteText"/>
        <w:spacing w:line="240" w:lineRule="auto"/>
        <w:rPr>
          <w:rFonts w:asciiTheme="minorHAnsi" w:hAnsiTheme="minorHAnsi"/>
          <w:sz w:val="18"/>
        </w:rPr>
      </w:pPr>
      <w:r w:rsidRPr="00DF23F9">
        <w:rPr>
          <w:rStyle w:val="FootnoteReference"/>
          <w:rFonts w:asciiTheme="minorHAnsi" w:hAnsiTheme="minorHAnsi"/>
          <w:sz w:val="18"/>
        </w:rPr>
        <w:footnoteRef/>
      </w:r>
      <w:r w:rsidRPr="00DF23F9">
        <w:rPr>
          <w:rFonts w:asciiTheme="minorHAnsi" w:hAnsiTheme="minorHAnsi"/>
          <w:sz w:val="18"/>
        </w:rPr>
        <w:t xml:space="preserve"> Makroekonomski okvir detaljno je opisan u Programu konvergencije RH za razdoblje 2019.</w:t>
      </w:r>
      <w:r>
        <w:rPr>
          <w:rFonts w:asciiTheme="minorHAnsi" w:hAnsiTheme="minorHAnsi"/>
          <w:sz w:val="18"/>
        </w:rPr>
        <w:t xml:space="preserve"> </w:t>
      </w:r>
      <w:r w:rsidRPr="00DF23F9">
        <w:rPr>
          <w:rFonts w:asciiTheme="minorHAnsi" w:hAnsiTheme="minorHAnsi"/>
          <w:sz w:val="18"/>
        </w:rPr>
        <w:t>-</w:t>
      </w:r>
      <w:r>
        <w:rPr>
          <w:rFonts w:asciiTheme="minorHAnsi" w:hAnsiTheme="minorHAnsi"/>
          <w:sz w:val="18"/>
        </w:rPr>
        <w:t xml:space="preserve"> </w:t>
      </w:r>
      <w:r w:rsidRPr="00DF23F9">
        <w:rPr>
          <w:rFonts w:asciiTheme="minorHAnsi" w:hAnsiTheme="minorHAnsi"/>
          <w:sz w:val="18"/>
        </w:rPr>
        <w:t xml:space="preserve">2022. </w:t>
      </w:r>
    </w:p>
  </w:footnote>
  <w:footnote w:id="5">
    <w:p w14:paraId="1219AAA5" w14:textId="77777777" w:rsidR="006656F9" w:rsidRPr="00DF23F9" w:rsidRDefault="006656F9" w:rsidP="003A5A5F">
      <w:pPr>
        <w:pStyle w:val="FootnoteText"/>
        <w:spacing w:line="240" w:lineRule="auto"/>
        <w:rPr>
          <w:sz w:val="18"/>
        </w:rPr>
      </w:pPr>
      <w:r w:rsidRPr="00DF23F9">
        <w:rPr>
          <w:rStyle w:val="FootnoteReference"/>
          <w:rFonts w:asciiTheme="minorHAnsi" w:hAnsiTheme="minorHAnsi"/>
          <w:sz w:val="18"/>
        </w:rPr>
        <w:footnoteRef/>
      </w:r>
      <w:r w:rsidRPr="00DF23F9">
        <w:rPr>
          <w:rFonts w:asciiTheme="minorHAnsi" w:hAnsiTheme="minorHAnsi"/>
          <w:sz w:val="18"/>
        </w:rPr>
        <w:t xml:space="preserve"> Vanjske pretpostavke za izradu makroekonomskih projekcija preuzete su iz posljednjih projekcija Međunarodnog monetarnog fonda (</w:t>
      </w:r>
      <w:r w:rsidRPr="00DF23F9">
        <w:rPr>
          <w:rFonts w:asciiTheme="minorHAnsi" w:hAnsiTheme="minorHAnsi"/>
          <w:i/>
          <w:sz w:val="18"/>
        </w:rPr>
        <w:t>World Economic Outlook</w:t>
      </w:r>
      <w:r w:rsidRPr="00DF23F9">
        <w:rPr>
          <w:rFonts w:asciiTheme="minorHAnsi" w:hAnsiTheme="minorHAnsi"/>
          <w:sz w:val="18"/>
        </w:rPr>
        <w:t>, travanj 2019.), Europske Komisije (</w:t>
      </w:r>
      <w:r w:rsidRPr="00DF23F9">
        <w:rPr>
          <w:rFonts w:asciiTheme="minorHAnsi" w:hAnsiTheme="minorHAnsi"/>
          <w:i/>
          <w:sz w:val="18"/>
        </w:rPr>
        <w:t>Spring 2019 forecast assumptions)</w:t>
      </w:r>
      <w:r w:rsidRPr="00DF23F9">
        <w:rPr>
          <w:rFonts w:asciiTheme="minorHAnsi" w:hAnsiTheme="minorHAnsi"/>
          <w:sz w:val="18"/>
        </w:rPr>
        <w:t xml:space="preserve"> i Europske središnje banke </w:t>
      </w:r>
      <w:r w:rsidRPr="00DF23F9">
        <w:rPr>
          <w:rFonts w:asciiTheme="minorHAnsi" w:hAnsiTheme="minorHAnsi"/>
          <w:i/>
          <w:sz w:val="18"/>
        </w:rPr>
        <w:t xml:space="preserve">(ECB staff macroeconomic projections for the euro area, </w:t>
      </w:r>
      <w:r w:rsidRPr="007F181C">
        <w:rPr>
          <w:rFonts w:asciiTheme="minorHAnsi" w:hAnsiTheme="minorHAnsi"/>
          <w:sz w:val="18"/>
        </w:rPr>
        <w:t>ožujak</w:t>
      </w:r>
      <w:r w:rsidRPr="00DF23F9">
        <w:rPr>
          <w:rFonts w:asciiTheme="minorHAnsi" w:hAnsiTheme="minorHAnsi"/>
          <w:i/>
          <w:sz w:val="18"/>
        </w:rPr>
        <w:t xml:space="preserve"> 2019.</w:t>
      </w:r>
      <w:r w:rsidRPr="00DF23F9">
        <w:rPr>
          <w:rFonts w:asciiTheme="minorHAnsi" w:hAnsiTheme="minorHAnsi"/>
          <w:sz w:val="18"/>
        </w:rPr>
        <w:t>).</w:t>
      </w:r>
    </w:p>
  </w:footnote>
  <w:footnote w:id="6">
    <w:p w14:paraId="7DB42706" w14:textId="77777777" w:rsidR="006656F9" w:rsidRPr="00DF23F9" w:rsidRDefault="006656F9" w:rsidP="003A5A5F">
      <w:pPr>
        <w:pStyle w:val="FootnoteText"/>
        <w:spacing w:line="240" w:lineRule="auto"/>
        <w:rPr>
          <w:rFonts w:asciiTheme="minorHAnsi" w:hAnsiTheme="minorHAnsi"/>
          <w:sz w:val="18"/>
        </w:rPr>
      </w:pPr>
      <w:r w:rsidRPr="00DF23F9">
        <w:rPr>
          <w:rStyle w:val="FootnoteReference"/>
          <w:rFonts w:asciiTheme="minorHAnsi" w:hAnsiTheme="minorHAnsi"/>
          <w:sz w:val="18"/>
        </w:rPr>
        <w:footnoteRef/>
      </w:r>
      <w:r w:rsidRPr="00DF23F9">
        <w:rPr>
          <w:rFonts w:asciiTheme="minorHAnsi" w:hAnsiTheme="minorHAnsi"/>
          <w:sz w:val="18"/>
        </w:rPr>
        <w:t xml:space="preserve"> Treba napomenuti kako su podaci za BDP za 2018. preliminarni. </w:t>
      </w:r>
    </w:p>
  </w:footnote>
  <w:footnote w:id="7">
    <w:p w14:paraId="0349FC08" w14:textId="77777777" w:rsidR="006656F9" w:rsidRPr="00DF23F9" w:rsidRDefault="006656F9" w:rsidP="003A5A5F">
      <w:pPr>
        <w:pStyle w:val="FootnoteText"/>
        <w:spacing w:line="240" w:lineRule="auto"/>
        <w:rPr>
          <w:rFonts w:asciiTheme="minorHAnsi" w:hAnsiTheme="minorHAnsi"/>
          <w:sz w:val="18"/>
        </w:rPr>
      </w:pPr>
      <w:r w:rsidRPr="00DF23F9">
        <w:rPr>
          <w:rStyle w:val="FootnoteReference"/>
          <w:rFonts w:asciiTheme="minorHAnsi" w:hAnsiTheme="minorHAnsi"/>
          <w:sz w:val="18"/>
        </w:rPr>
        <w:footnoteRef/>
      </w:r>
      <w:r w:rsidRPr="00DF23F9">
        <w:rPr>
          <w:rFonts w:asciiTheme="minorHAnsi" w:hAnsiTheme="minorHAnsi"/>
          <w:sz w:val="18"/>
        </w:rPr>
        <w:t xml:space="preserve"> Opća država te poduzeća u većinskom državnom vlasništvu koja nisu u sastavu opće države prema metodologiji ESA 2010.</w:t>
      </w:r>
    </w:p>
  </w:footnote>
  <w:footnote w:id="8">
    <w:p w14:paraId="48567348" w14:textId="77777777" w:rsidR="006656F9" w:rsidRPr="00DF23F9" w:rsidRDefault="006656F9" w:rsidP="0026515A">
      <w:pPr>
        <w:pStyle w:val="FootnoteText"/>
        <w:rPr>
          <w:rFonts w:asciiTheme="minorHAnsi" w:hAnsiTheme="minorHAnsi"/>
          <w:sz w:val="18"/>
          <w:szCs w:val="18"/>
        </w:rPr>
      </w:pPr>
      <w:r w:rsidRPr="00DF23F9">
        <w:rPr>
          <w:rStyle w:val="FootnoteReference"/>
          <w:rFonts w:asciiTheme="minorHAnsi" w:hAnsiTheme="minorHAnsi"/>
          <w:sz w:val="18"/>
          <w:szCs w:val="18"/>
        </w:rPr>
        <w:footnoteRef/>
      </w:r>
      <w:r w:rsidRPr="00DF23F9">
        <w:rPr>
          <w:rStyle w:val="FootnoteReference"/>
          <w:rFonts w:asciiTheme="minorHAnsi" w:hAnsiTheme="minorHAnsi"/>
          <w:sz w:val="18"/>
          <w:szCs w:val="18"/>
        </w:rPr>
        <w:t xml:space="preserve"> </w:t>
      </w:r>
      <w:r w:rsidRPr="00DF23F9">
        <w:rPr>
          <w:rFonts w:asciiTheme="minorHAnsi" w:hAnsiTheme="minorHAnsi"/>
          <w:sz w:val="18"/>
          <w:szCs w:val="18"/>
        </w:rPr>
        <w:t>Narodne novine, broj 111/2018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9A93" w14:textId="77777777" w:rsidR="006656F9" w:rsidRDefault="0066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D6F"/>
    <w:multiLevelType w:val="multilevel"/>
    <w:tmpl w:val="A22A90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3105F"/>
    <w:multiLevelType w:val="hybridMultilevel"/>
    <w:tmpl w:val="77FEA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033EC"/>
    <w:multiLevelType w:val="hybridMultilevel"/>
    <w:tmpl w:val="4A843366"/>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 w15:restartNumberingAfterBreak="0">
    <w:nsid w:val="0AD3755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890FE1"/>
    <w:multiLevelType w:val="hybridMultilevel"/>
    <w:tmpl w:val="47C4BE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CB40201"/>
    <w:multiLevelType w:val="multilevel"/>
    <w:tmpl w:val="042C8444"/>
    <w:lvl w:ilvl="0">
      <w:start w:val="1"/>
      <w:numFmt w:val="bullet"/>
      <w:lvlText w:val=""/>
      <w:lvlJc w:val="left"/>
      <w:pPr>
        <w:ind w:left="1080" w:hanging="72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15621826"/>
    <w:multiLevelType w:val="hybridMultilevel"/>
    <w:tmpl w:val="0B4A8E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FA5D1B"/>
    <w:multiLevelType w:val="hybridMultilevel"/>
    <w:tmpl w:val="62BE88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A2898"/>
    <w:multiLevelType w:val="hybridMultilevel"/>
    <w:tmpl w:val="0798A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64715E"/>
    <w:multiLevelType w:val="hybridMultilevel"/>
    <w:tmpl w:val="84900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1D193C"/>
    <w:multiLevelType w:val="multilevel"/>
    <w:tmpl w:val="042C8444"/>
    <w:lvl w:ilvl="0">
      <w:start w:val="1"/>
      <w:numFmt w:val="bullet"/>
      <w:lvlText w:val=""/>
      <w:lvlJc w:val="left"/>
      <w:pPr>
        <w:ind w:left="1080" w:hanging="72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1B61115F"/>
    <w:multiLevelType w:val="hybridMultilevel"/>
    <w:tmpl w:val="45F679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3F24B4"/>
    <w:multiLevelType w:val="hybridMultilevel"/>
    <w:tmpl w:val="7A36E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920082"/>
    <w:multiLevelType w:val="hybridMultilevel"/>
    <w:tmpl w:val="371ECF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32A2DE0"/>
    <w:multiLevelType w:val="hybridMultilevel"/>
    <w:tmpl w:val="248A06C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EC4413"/>
    <w:multiLevelType w:val="multilevel"/>
    <w:tmpl w:val="A2CCF3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2022C0"/>
    <w:multiLevelType w:val="multilevel"/>
    <w:tmpl w:val="042C8444"/>
    <w:lvl w:ilvl="0">
      <w:start w:val="1"/>
      <w:numFmt w:val="bullet"/>
      <w:lvlText w:val=""/>
      <w:lvlJc w:val="left"/>
      <w:pPr>
        <w:ind w:left="1080" w:hanging="72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24F46330"/>
    <w:multiLevelType w:val="hybridMultilevel"/>
    <w:tmpl w:val="0E60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138CB"/>
    <w:multiLevelType w:val="hybridMultilevel"/>
    <w:tmpl w:val="0A188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51729C"/>
    <w:multiLevelType w:val="hybridMultilevel"/>
    <w:tmpl w:val="316092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F82154"/>
    <w:multiLevelType w:val="hybridMultilevel"/>
    <w:tmpl w:val="797A9A70"/>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1" w15:restartNumberingAfterBreak="0">
    <w:nsid w:val="4170337E"/>
    <w:multiLevelType w:val="hybridMultilevel"/>
    <w:tmpl w:val="4EC66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8D4EC4"/>
    <w:multiLevelType w:val="hybridMultilevel"/>
    <w:tmpl w:val="F30A5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59096E"/>
    <w:multiLevelType w:val="hybridMultilevel"/>
    <w:tmpl w:val="72162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D801D8"/>
    <w:multiLevelType w:val="hybridMultilevel"/>
    <w:tmpl w:val="89063862"/>
    <w:lvl w:ilvl="0" w:tplc="8DC654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B7C152C"/>
    <w:multiLevelType w:val="multilevel"/>
    <w:tmpl w:val="041A001F"/>
    <w:numStyleLink w:val="Stil1"/>
  </w:abstractNum>
  <w:abstractNum w:abstractNumId="26" w15:restartNumberingAfterBreak="0">
    <w:nsid w:val="4C301DA9"/>
    <w:multiLevelType w:val="hybridMultilevel"/>
    <w:tmpl w:val="72162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110480"/>
    <w:multiLevelType w:val="hybridMultilevel"/>
    <w:tmpl w:val="C92630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D46DF6"/>
    <w:multiLevelType w:val="hybridMultilevel"/>
    <w:tmpl w:val="86AC1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C271E7"/>
    <w:multiLevelType w:val="hybridMultilevel"/>
    <w:tmpl w:val="9CAE669C"/>
    <w:lvl w:ilvl="0" w:tplc="5E60DB6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C101E43"/>
    <w:multiLevelType w:val="hybridMultilevel"/>
    <w:tmpl w:val="38DCA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55D669C"/>
    <w:multiLevelType w:val="hybridMultilevel"/>
    <w:tmpl w:val="2DF46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76A0DAD"/>
    <w:multiLevelType w:val="hybridMultilevel"/>
    <w:tmpl w:val="9D1A65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2A2C76"/>
    <w:multiLevelType w:val="hybridMultilevel"/>
    <w:tmpl w:val="DBEA5278"/>
    <w:lvl w:ilvl="0" w:tplc="041A0001">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34" w15:restartNumberingAfterBreak="0">
    <w:nsid w:val="6C3B6C54"/>
    <w:multiLevelType w:val="hybridMultilevel"/>
    <w:tmpl w:val="428C4ED4"/>
    <w:lvl w:ilvl="0" w:tplc="4088F3D0">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1C974CB"/>
    <w:multiLevelType w:val="hybridMultilevel"/>
    <w:tmpl w:val="AC9E995C"/>
    <w:lvl w:ilvl="0" w:tplc="33D00AC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01DC4"/>
    <w:multiLevelType w:val="hybridMultilevel"/>
    <w:tmpl w:val="356E205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7A124E3C"/>
    <w:multiLevelType w:val="multilevel"/>
    <w:tmpl w:val="041A001F"/>
    <w:styleLink w:val="Stil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5"/>
  </w:num>
  <w:num w:numId="3">
    <w:abstractNumId w:val="23"/>
  </w:num>
  <w:num w:numId="4">
    <w:abstractNumId w:val="17"/>
  </w:num>
  <w:num w:numId="5">
    <w:abstractNumId w:val="26"/>
  </w:num>
  <w:num w:numId="6">
    <w:abstractNumId w:val="30"/>
  </w:num>
  <w:num w:numId="7">
    <w:abstractNumId w:val="6"/>
  </w:num>
  <w:num w:numId="8">
    <w:abstractNumId w:val="20"/>
  </w:num>
  <w:num w:numId="9">
    <w:abstractNumId w:val="18"/>
  </w:num>
  <w:num w:numId="10">
    <w:abstractNumId w:val="14"/>
  </w:num>
  <w:num w:numId="11">
    <w:abstractNumId w:val="9"/>
  </w:num>
  <w:num w:numId="12">
    <w:abstractNumId w:val="36"/>
  </w:num>
  <w:num w:numId="13">
    <w:abstractNumId w:val="21"/>
  </w:num>
  <w:num w:numId="14">
    <w:abstractNumId w:val="22"/>
  </w:num>
  <w:num w:numId="15">
    <w:abstractNumId w:val="28"/>
  </w:num>
  <w:num w:numId="16">
    <w:abstractNumId w:val="29"/>
  </w:num>
  <w:num w:numId="17">
    <w:abstractNumId w:val="31"/>
  </w:num>
  <w:num w:numId="18">
    <w:abstractNumId w:val="12"/>
  </w:num>
  <w:num w:numId="19">
    <w:abstractNumId w:val="11"/>
  </w:num>
  <w:num w:numId="20">
    <w:abstractNumId w:val="7"/>
  </w:num>
  <w:num w:numId="21">
    <w:abstractNumId w:val="3"/>
  </w:num>
  <w:num w:numId="22">
    <w:abstractNumId w:val="33"/>
  </w:num>
  <w:num w:numId="23">
    <w:abstractNumId w:val="19"/>
  </w:num>
  <w:num w:numId="24">
    <w:abstractNumId w:val="24"/>
  </w:num>
  <w:num w:numId="25">
    <w:abstractNumId w:val="13"/>
  </w:num>
  <w:num w:numId="26">
    <w:abstractNumId w:val="27"/>
  </w:num>
  <w:num w:numId="27">
    <w:abstractNumId w:val="8"/>
  </w:num>
  <w:num w:numId="28">
    <w:abstractNumId w:val="2"/>
  </w:num>
  <w:num w:numId="29">
    <w:abstractNumId w:val="0"/>
  </w:num>
  <w:num w:numId="30">
    <w:abstractNumId w:val="25"/>
  </w:num>
  <w:num w:numId="31">
    <w:abstractNumId w:val="37"/>
  </w:num>
  <w:num w:numId="32">
    <w:abstractNumId w:val="32"/>
  </w:num>
  <w:num w:numId="33">
    <w:abstractNumId w:val="34"/>
  </w:num>
  <w:num w:numId="34">
    <w:abstractNumId w:val="4"/>
  </w:num>
  <w:num w:numId="35">
    <w:abstractNumId w:val="5"/>
  </w:num>
  <w:num w:numId="36">
    <w:abstractNumId w:val="16"/>
  </w:num>
  <w:num w:numId="37">
    <w:abstractNumId w:val="10"/>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BB"/>
    <w:rsid w:val="00001CD9"/>
    <w:rsid w:val="00003E25"/>
    <w:rsid w:val="00006906"/>
    <w:rsid w:val="00014019"/>
    <w:rsid w:val="00014935"/>
    <w:rsid w:val="00015520"/>
    <w:rsid w:val="000169C2"/>
    <w:rsid w:val="00020D12"/>
    <w:rsid w:val="00023B6E"/>
    <w:rsid w:val="00025326"/>
    <w:rsid w:val="00025AF6"/>
    <w:rsid w:val="00025F58"/>
    <w:rsid w:val="00031656"/>
    <w:rsid w:val="00031AE8"/>
    <w:rsid w:val="000324BA"/>
    <w:rsid w:val="00032F6C"/>
    <w:rsid w:val="00033F88"/>
    <w:rsid w:val="0003531B"/>
    <w:rsid w:val="00037470"/>
    <w:rsid w:val="0004031F"/>
    <w:rsid w:val="0004063F"/>
    <w:rsid w:val="000416CC"/>
    <w:rsid w:val="00042127"/>
    <w:rsid w:val="000455BB"/>
    <w:rsid w:val="00047E84"/>
    <w:rsid w:val="00050C71"/>
    <w:rsid w:val="000516C7"/>
    <w:rsid w:val="000526C5"/>
    <w:rsid w:val="00052CDB"/>
    <w:rsid w:val="00055B88"/>
    <w:rsid w:val="000563D2"/>
    <w:rsid w:val="000566E7"/>
    <w:rsid w:val="00060EFB"/>
    <w:rsid w:val="000618B5"/>
    <w:rsid w:val="00064442"/>
    <w:rsid w:val="00073633"/>
    <w:rsid w:val="000736E0"/>
    <w:rsid w:val="00073DC0"/>
    <w:rsid w:val="0007525D"/>
    <w:rsid w:val="0007582E"/>
    <w:rsid w:val="00075CA9"/>
    <w:rsid w:val="00080D3F"/>
    <w:rsid w:val="00080F5B"/>
    <w:rsid w:val="00081125"/>
    <w:rsid w:val="00092382"/>
    <w:rsid w:val="00092804"/>
    <w:rsid w:val="00092E82"/>
    <w:rsid w:val="00093754"/>
    <w:rsid w:val="000949A8"/>
    <w:rsid w:val="00097CA5"/>
    <w:rsid w:val="000A0102"/>
    <w:rsid w:val="000A1FC4"/>
    <w:rsid w:val="000A4518"/>
    <w:rsid w:val="000A610C"/>
    <w:rsid w:val="000A6138"/>
    <w:rsid w:val="000A67F3"/>
    <w:rsid w:val="000A7F95"/>
    <w:rsid w:val="000B3B94"/>
    <w:rsid w:val="000B43B7"/>
    <w:rsid w:val="000C1524"/>
    <w:rsid w:val="000C2B02"/>
    <w:rsid w:val="000C32F5"/>
    <w:rsid w:val="000C42EB"/>
    <w:rsid w:val="000C56F9"/>
    <w:rsid w:val="000C5CBF"/>
    <w:rsid w:val="000C607E"/>
    <w:rsid w:val="000C6BF8"/>
    <w:rsid w:val="000C6D3F"/>
    <w:rsid w:val="000C7EC1"/>
    <w:rsid w:val="000D1CDD"/>
    <w:rsid w:val="000D1E42"/>
    <w:rsid w:val="000D3D47"/>
    <w:rsid w:val="000D3F7B"/>
    <w:rsid w:val="000D41A0"/>
    <w:rsid w:val="000D4431"/>
    <w:rsid w:val="000D4B13"/>
    <w:rsid w:val="000D4C46"/>
    <w:rsid w:val="000D6BD3"/>
    <w:rsid w:val="000D708C"/>
    <w:rsid w:val="000D7617"/>
    <w:rsid w:val="000E2434"/>
    <w:rsid w:val="000E3F63"/>
    <w:rsid w:val="000E46B8"/>
    <w:rsid w:val="000E6E99"/>
    <w:rsid w:val="000E7029"/>
    <w:rsid w:val="000E75CD"/>
    <w:rsid w:val="000F0818"/>
    <w:rsid w:val="000F0A08"/>
    <w:rsid w:val="000F0EAC"/>
    <w:rsid w:val="000F14A9"/>
    <w:rsid w:val="000F70B8"/>
    <w:rsid w:val="000F72EC"/>
    <w:rsid w:val="001017D0"/>
    <w:rsid w:val="0010391E"/>
    <w:rsid w:val="001048AF"/>
    <w:rsid w:val="001052DD"/>
    <w:rsid w:val="00105B4E"/>
    <w:rsid w:val="00106284"/>
    <w:rsid w:val="00106E49"/>
    <w:rsid w:val="001116FA"/>
    <w:rsid w:val="00112363"/>
    <w:rsid w:val="0011435A"/>
    <w:rsid w:val="00115DA4"/>
    <w:rsid w:val="001214CB"/>
    <w:rsid w:val="00123016"/>
    <w:rsid w:val="00123ADF"/>
    <w:rsid w:val="00124C92"/>
    <w:rsid w:val="00125FFF"/>
    <w:rsid w:val="00126106"/>
    <w:rsid w:val="00127667"/>
    <w:rsid w:val="00127936"/>
    <w:rsid w:val="00131500"/>
    <w:rsid w:val="00137112"/>
    <w:rsid w:val="00137E2C"/>
    <w:rsid w:val="001404F5"/>
    <w:rsid w:val="00140554"/>
    <w:rsid w:val="001415C4"/>
    <w:rsid w:val="001429F0"/>
    <w:rsid w:val="001447EC"/>
    <w:rsid w:val="00144B27"/>
    <w:rsid w:val="00145C68"/>
    <w:rsid w:val="00146648"/>
    <w:rsid w:val="00150899"/>
    <w:rsid w:val="0015118D"/>
    <w:rsid w:val="001521DB"/>
    <w:rsid w:val="00152606"/>
    <w:rsid w:val="00153607"/>
    <w:rsid w:val="0015425D"/>
    <w:rsid w:val="00156360"/>
    <w:rsid w:val="001564D9"/>
    <w:rsid w:val="001620A1"/>
    <w:rsid w:val="001622B2"/>
    <w:rsid w:val="00163496"/>
    <w:rsid w:val="00167C37"/>
    <w:rsid w:val="00172B10"/>
    <w:rsid w:val="001740A5"/>
    <w:rsid w:val="001742CB"/>
    <w:rsid w:val="00174941"/>
    <w:rsid w:val="00174D73"/>
    <w:rsid w:val="0018196A"/>
    <w:rsid w:val="00181E47"/>
    <w:rsid w:val="00182416"/>
    <w:rsid w:val="00186367"/>
    <w:rsid w:val="00186B65"/>
    <w:rsid w:val="00187016"/>
    <w:rsid w:val="00193654"/>
    <w:rsid w:val="0019721E"/>
    <w:rsid w:val="001A2D95"/>
    <w:rsid w:val="001A3A1E"/>
    <w:rsid w:val="001A591E"/>
    <w:rsid w:val="001A6581"/>
    <w:rsid w:val="001B09D8"/>
    <w:rsid w:val="001B2D99"/>
    <w:rsid w:val="001B4D9E"/>
    <w:rsid w:val="001C09E8"/>
    <w:rsid w:val="001C384F"/>
    <w:rsid w:val="001C7063"/>
    <w:rsid w:val="001C72C5"/>
    <w:rsid w:val="001D03B4"/>
    <w:rsid w:val="001D2CE4"/>
    <w:rsid w:val="001D3BC9"/>
    <w:rsid w:val="001D3F19"/>
    <w:rsid w:val="001D6223"/>
    <w:rsid w:val="001E0F39"/>
    <w:rsid w:val="001E2496"/>
    <w:rsid w:val="001E4F7D"/>
    <w:rsid w:val="001E707E"/>
    <w:rsid w:val="001F029E"/>
    <w:rsid w:val="001F5000"/>
    <w:rsid w:val="00204F96"/>
    <w:rsid w:val="00205CAB"/>
    <w:rsid w:val="00206D0A"/>
    <w:rsid w:val="002070B6"/>
    <w:rsid w:val="0021051F"/>
    <w:rsid w:val="00213D70"/>
    <w:rsid w:val="00215F43"/>
    <w:rsid w:val="00215F4C"/>
    <w:rsid w:val="002173EB"/>
    <w:rsid w:val="00217BB0"/>
    <w:rsid w:val="00220791"/>
    <w:rsid w:val="00220A2C"/>
    <w:rsid w:val="00220ABA"/>
    <w:rsid w:val="002212F6"/>
    <w:rsid w:val="002219D9"/>
    <w:rsid w:val="00222A6A"/>
    <w:rsid w:val="00222B08"/>
    <w:rsid w:val="002263BE"/>
    <w:rsid w:val="00226876"/>
    <w:rsid w:val="00231ECA"/>
    <w:rsid w:val="002330BF"/>
    <w:rsid w:val="002335DA"/>
    <w:rsid w:val="002347F7"/>
    <w:rsid w:val="002348CC"/>
    <w:rsid w:val="002363BC"/>
    <w:rsid w:val="002374EA"/>
    <w:rsid w:val="0023764F"/>
    <w:rsid w:val="0024169A"/>
    <w:rsid w:val="002477D7"/>
    <w:rsid w:val="002527EF"/>
    <w:rsid w:val="002528BC"/>
    <w:rsid w:val="002554BB"/>
    <w:rsid w:val="002562F9"/>
    <w:rsid w:val="002576E0"/>
    <w:rsid w:val="00260779"/>
    <w:rsid w:val="002635C9"/>
    <w:rsid w:val="0026515A"/>
    <w:rsid w:val="00266FD7"/>
    <w:rsid w:val="00267918"/>
    <w:rsid w:val="002717EA"/>
    <w:rsid w:val="0027182B"/>
    <w:rsid w:val="002729CC"/>
    <w:rsid w:val="00274A01"/>
    <w:rsid w:val="00276AF4"/>
    <w:rsid w:val="002852FA"/>
    <w:rsid w:val="002926BC"/>
    <w:rsid w:val="00292D85"/>
    <w:rsid w:val="002959B8"/>
    <w:rsid w:val="00295F4E"/>
    <w:rsid w:val="002967D2"/>
    <w:rsid w:val="00297368"/>
    <w:rsid w:val="00297802"/>
    <w:rsid w:val="002A2D31"/>
    <w:rsid w:val="002A67AD"/>
    <w:rsid w:val="002A6F25"/>
    <w:rsid w:val="002B1BDC"/>
    <w:rsid w:val="002B2443"/>
    <w:rsid w:val="002B357B"/>
    <w:rsid w:val="002B3A0D"/>
    <w:rsid w:val="002B3ABB"/>
    <w:rsid w:val="002B4506"/>
    <w:rsid w:val="002B4C58"/>
    <w:rsid w:val="002C2239"/>
    <w:rsid w:val="002C40E8"/>
    <w:rsid w:val="002C4843"/>
    <w:rsid w:val="002C53B3"/>
    <w:rsid w:val="002C668E"/>
    <w:rsid w:val="002C7FD4"/>
    <w:rsid w:val="002D1777"/>
    <w:rsid w:val="002D17A0"/>
    <w:rsid w:val="002D3D0E"/>
    <w:rsid w:val="002D5C87"/>
    <w:rsid w:val="002E0964"/>
    <w:rsid w:val="002E0E2B"/>
    <w:rsid w:val="002E0F9E"/>
    <w:rsid w:val="002E3F8C"/>
    <w:rsid w:val="002E51D5"/>
    <w:rsid w:val="002E6551"/>
    <w:rsid w:val="002F122F"/>
    <w:rsid w:val="002F186F"/>
    <w:rsid w:val="002F293E"/>
    <w:rsid w:val="002F4423"/>
    <w:rsid w:val="002F56F0"/>
    <w:rsid w:val="002F7D87"/>
    <w:rsid w:val="003025C2"/>
    <w:rsid w:val="00306300"/>
    <w:rsid w:val="0030731E"/>
    <w:rsid w:val="00310223"/>
    <w:rsid w:val="0031361D"/>
    <w:rsid w:val="00316080"/>
    <w:rsid w:val="00316215"/>
    <w:rsid w:val="00317BE0"/>
    <w:rsid w:val="00321961"/>
    <w:rsid w:val="00321DC6"/>
    <w:rsid w:val="00325EAC"/>
    <w:rsid w:val="003278EB"/>
    <w:rsid w:val="00330297"/>
    <w:rsid w:val="00330ADE"/>
    <w:rsid w:val="00332B44"/>
    <w:rsid w:val="00333168"/>
    <w:rsid w:val="00340C45"/>
    <w:rsid w:val="00342ACF"/>
    <w:rsid w:val="00345295"/>
    <w:rsid w:val="003452A3"/>
    <w:rsid w:val="0034555B"/>
    <w:rsid w:val="0034712A"/>
    <w:rsid w:val="00350D57"/>
    <w:rsid w:val="00352AF4"/>
    <w:rsid w:val="00353AB3"/>
    <w:rsid w:val="00353BBF"/>
    <w:rsid w:val="00354153"/>
    <w:rsid w:val="0035474D"/>
    <w:rsid w:val="00355F14"/>
    <w:rsid w:val="00360EEE"/>
    <w:rsid w:val="00361953"/>
    <w:rsid w:val="00366454"/>
    <w:rsid w:val="0036748D"/>
    <w:rsid w:val="003714C0"/>
    <w:rsid w:val="00375B6E"/>
    <w:rsid w:val="00376C57"/>
    <w:rsid w:val="00380F43"/>
    <w:rsid w:val="00381011"/>
    <w:rsid w:val="00381B83"/>
    <w:rsid w:val="00381C99"/>
    <w:rsid w:val="00382893"/>
    <w:rsid w:val="00383070"/>
    <w:rsid w:val="0038460A"/>
    <w:rsid w:val="00392A65"/>
    <w:rsid w:val="00396EA3"/>
    <w:rsid w:val="003A0C0E"/>
    <w:rsid w:val="003A5A5F"/>
    <w:rsid w:val="003A5C1A"/>
    <w:rsid w:val="003A68EC"/>
    <w:rsid w:val="003A7393"/>
    <w:rsid w:val="003A798F"/>
    <w:rsid w:val="003B26B9"/>
    <w:rsid w:val="003B4001"/>
    <w:rsid w:val="003B6271"/>
    <w:rsid w:val="003B6AC6"/>
    <w:rsid w:val="003B76C0"/>
    <w:rsid w:val="003B7B44"/>
    <w:rsid w:val="003C1809"/>
    <w:rsid w:val="003C1A70"/>
    <w:rsid w:val="003C28C8"/>
    <w:rsid w:val="003C3CAE"/>
    <w:rsid w:val="003C613E"/>
    <w:rsid w:val="003D38CD"/>
    <w:rsid w:val="003D3B19"/>
    <w:rsid w:val="003D44C2"/>
    <w:rsid w:val="003D51CE"/>
    <w:rsid w:val="003D66B9"/>
    <w:rsid w:val="003D71E5"/>
    <w:rsid w:val="003D72AE"/>
    <w:rsid w:val="003D7A0B"/>
    <w:rsid w:val="003E1EBC"/>
    <w:rsid w:val="003E3DA1"/>
    <w:rsid w:val="003E4C0F"/>
    <w:rsid w:val="003E52BF"/>
    <w:rsid w:val="003E668F"/>
    <w:rsid w:val="003E7A6C"/>
    <w:rsid w:val="003E7DD0"/>
    <w:rsid w:val="003F2D5B"/>
    <w:rsid w:val="003F5DB3"/>
    <w:rsid w:val="004021A1"/>
    <w:rsid w:val="00403C46"/>
    <w:rsid w:val="00405881"/>
    <w:rsid w:val="00406081"/>
    <w:rsid w:val="0041040C"/>
    <w:rsid w:val="004117D9"/>
    <w:rsid w:val="00411A7F"/>
    <w:rsid w:val="004142ED"/>
    <w:rsid w:val="00416354"/>
    <w:rsid w:val="004168EF"/>
    <w:rsid w:val="00416B66"/>
    <w:rsid w:val="00416C42"/>
    <w:rsid w:val="004174B3"/>
    <w:rsid w:val="0042073D"/>
    <w:rsid w:val="004233DE"/>
    <w:rsid w:val="00437761"/>
    <w:rsid w:val="004407C1"/>
    <w:rsid w:val="00441180"/>
    <w:rsid w:val="004466FE"/>
    <w:rsid w:val="00446C83"/>
    <w:rsid w:val="004472E7"/>
    <w:rsid w:val="00450D70"/>
    <w:rsid w:val="00450F0D"/>
    <w:rsid w:val="00455524"/>
    <w:rsid w:val="004559BD"/>
    <w:rsid w:val="0045660B"/>
    <w:rsid w:val="00456BB9"/>
    <w:rsid w:val="004573E6"/>
    <w:rsid w:val="004574A9"/>
    <w:rsid w:val="004604FB"/>
    <w:rsid w:val="00460572"/>
    <w:rsid w:val="004606FB"/>
    <w:rsid w:val="00463CF8"/>
    <w:rsid w:val="00464D89"/>
    <w:rsid w:val="004664AB"/>
    <w:rsid w:val="00467A3F"/>
    <w:rsid w:val="004718C9"/>
    <w:rsid w:val="00471F8A"/>
    <w:rsid w:val="00472975"/>
    <w:rsid w:val="004767F1"/>
    <w:rsid w:val="00476DDC"/>
    <w:rsid w:val="00476F1B"/>
    <w:rsid w:val="004775F1"/>
    <w:rsid w:val="00486A45"/>
    <w:rsid w:val="0049160F"/>
    <w:rsid w:val="004932CE"/>
    <w:rsid w:val="004934B2"/>
    <w:rsid w:val="0049708B"/>
    <w:rsid w:val="00497202"/>
    <w:rsid w:val="004A1341"/>
    <w:rsid w:val="004A33C2"/>
    <w:rsid w:val="004A3768"/>
    <w:rsid w:val="004A4575"/>
    <w:rsid w:val="004A4C71"/>
    <w:rsid w:val="004A4FBA"/>
    <w:rsid w:val="004A542D"/>
    <w:rsid w:val="004A5682"/>
    <w:rsid w:val="004A6E5D"/>
    <w:rsid w:val="004A77F3"/>
    <w:rsid w:val="004A7C84"/>
    <w:rsid w:val="004B15D9"/>
    <w:rsid w:val="004B2318"/>
    <w:rsid w:val="004B32C3"/>
    <w:rsid w:val="004B667E"/>
    <w:rsid w:val="004C0FE2"/>
    <w:rsid w:val="004C1430"/>
    <w:rsid w:val="004C2E26"/>
    <w:rsid w:val="004C2FF8"/>
    <w:rsid w:val="004C4ADD"/>
    <w:rsid w:val="004C54FD"/>
    <w:rsid w:val="004C760D"/>
    <w:rsid w:val="004D05D2"/>
    <w:rsid w:val="004D0F8A"/>
    <w:rsid w:val="004D2DB4"/>
    <w:rsid w:val="004D338A"/>
    <w:rsid w:val="004D47CA"/>
    <w:rsid w:val="004D56AB"/>
    <w:rsid w:val="004D586C"/>
    <w:rsid w:val="004D607A"/>
    <w:rsid w:val="004D6897"/>
    <w:rsid w:val="004D6C65"/>
    <w:rsid w:val="004E1A43"/>
    <w:rsid w:val="004E26D1"/>
    <w:rsid w:val="004E5CF0"/>
    <w:rsid w:val="004F0F5A"/>
    <w:rsid w:val="004F1F3D"/>
    <w:rsid w:val="004F3C9A"/>
    <w:rsid w:val="004F4DE6"/>
    <w:rsid w:val="004F554E"/>
    <w:rsid w:val="004F6B28"/>
    <w:rsid w:val="004F7CAB"/>
    <w:rsid w:val="00501850"/>
    <w:rsid w:val="0050296E"/>
    <w:rsid w:val="00502A80"/>
    <w:rsid w:val="00504753"/>
    <w:rsid w:val="00504A9B"/>
    <w:rsid w:val="005061A0"/>
    <w:rsid w:val="00506E0C"/>
    <w:rsid w:val="0051398D"/>
    <w:rsid w:val="00514513"/>
    <w:rsid w:val="005146E8"/>
    <w:rsid w:val="00516958"/>
    <w:rsid w:val="00521174"/>
    <w:rsid w:val="00521374"/>
    <w:rsid w:val="00522839"/>
    <w:rsid w:val="00522B97"/>
    <w:rsid w:val="00522F06"/>
    <w:rsid w:val="00523206"/>
    <w:rsid w:val="005260B4"/>
    <w:rsid w:val="005260FE"/>
    <w:rsid w:val="005343A7"/>
    <w:rsid w:val="00537DC9"/>
    <w:rsid w:val="00541CF6"/>
    <w:rsid w:val="005422BD"/>
    <w:rsid w:val="005428DE"/>
    <w:rsid w:val="00546138"/>
    <w:rsid w:val="0054741A"/>
    <w:rsid w:val="00547910"/>
    <w:rsid w:val="0055015A"/>
    <w:rsid w:val="00553215"/>
    <w:rsid w:val="00553295"/>
    <w:rsid w:val="005548D8"/>
    <w:rsid w:val="00555BAD"/>
    <w:rsid w:val="00556848"/>
    <w:rsid w:val="00556D6A"/>
    <w:rsid w:val="00563EF6"/>
    <w:rsid w:val="005658B9"/>
    <w:rsid w:val="005659D2"/>
    <w:rsid w:val="00566071"/>
    <w:rsid w:val="00573014"/>
    <w:rsid w:val="00573ADC"/>
    <w:rsid w:val="005742F5"/>
    <w:rsid w:val="0057506E"/>
    <w:rsid w:val="005774A3"/>
    <w:rsid w:val="005810FC"/>
    <w:rsid w:val="00581344"/>
    <w:rsid w:val="00581F73"/>
    <w:rsid w:val="00582149"/>
    <w:rsid w:val="005849AE"/>
    <w:rsid w:val="00585A99"/>
    <w:rsid w:val="005871AB"/>
    <w:rsid w:val="00587A4E"/>
    <w:rsid w:val="00591D73"/>
    <w:rsid w:val="0059284E"/>
    <w:rsid w:val="0059559E"/>
    <w:rsid w:val="00595758"/>
    <w:rsid w:val="00595BF2"/>
    <w:rsid w:val="005A052F"/>
    <w:rsid w:val="005A0D81"/>
    <w:rsid w:val="005A38A0"/>
    <w:rsid w:val="005A4616"/>
    <w:rsid w:val="005A501A"/>
    <w:rsid w:val="005A67F6"/>
    <w:rsid w:val="005A7792"/>
    <w:rsid w:val="005B16EC"/>
    <w:rsid w:val="005B3878"/>
    <w:rsid w:val="005B5D04"/>
    <w:rsid w:val="005B7558"/>
    <w:rsid w:val="005B7691"/>
    <w:rsid w:val="005C03E6"/>
    <w:rsid w:val="005C7A46"/>
    <w:rsid w:val="005D17EF"/>
    <w:rsid w:val="005D2223"/>
    <w:rsid w:val="005D6590"/>
    <w:rsid w:val="005D677B"/>
    <w:rsid w:val="005D77E8"/>
    <w:rsid w:val="005E0334"/>
    <w:rsid w:val="005E073F"/>
    <w:rsid w:val="005E1FB3"/>
    <w:rsid w:val="005E36EE"/>
    <w:rsid w:val="005E38E9"/>
    <w:rsid w:val="005E3A78"/>
    <w:rsid w:val="005E4CC3"/>
    <w:rsid w:val="005E5057"/>
    <w:rsid w:val="005E565C"/>
    <w:rsid w:val="005F310F"/>
    <w:rsid w:val="005F3C50"/>
    <w:rsid w:val="005F4064"/>
    <w:rsid w:val="005F7314"/>
    <w:rsid w:val="006022DA"/>
    <w:rsid w:val="00603F41"/>
    <w:rsid w:val="00610999"/>
    <w:rsid w:val="00616D7B"/>
    <w:rsid w:val="006171C4"/>
    <w:rsid w:val="00620919"/>
    <w:rsid w:val="00620AE7"/>
    <w:rsid w:val="00622A53"/>
    <w:rsid w:val="00623334"/>
    <w:rsid w:val="00624BA4"/>
    <w:rsid w:val="006303BB"/>
    <w:rsid w:val="006312ED"/>
    <w:rsid w:val="00633D40"/>
    <w:rsid w:val="00641339"/>
    <w:rsid w:val="00642C3B"/>
    <w:rsid w:val="00642E36"/>
    <w:rsid w:val="006437EE"/>
    <w:rsid w:val="00645395"/>
    <w:rsid w:val="0064733D"/>
    <w:rsid w:val="00647928"/>
    <w:rsid w:val="006538A9"/>
    <w:rsid w:val="0066051A"/>
    <w:rsid w:val="00662B31"/>
    <w:rsid w:val="00664259"/>
    <w:rsid w:val="00664499"/>
    <w:rsid w:val="00664B14"/>
    <w:rsid w:val="006656F9"/>
    <w:rsid w:val="00665721"/>
    <w:rsid w:val="00665D07"/>
    <w:rsid w:val="0067122E"/>
    <w:rsid w:val="00673A02"/>
    <w:rsid w:val="00674201"/>
    <w:rsid w:val="00674F42"/>
    <w:rsid w:val="006756B4"/>
    <w:rsid w:val="00676D10"/>
    <w:rsid w:val="00676E47"/>
    <w:rsid w:val="00676F97"/>
    <w:rsid w:val="00677184"/>
    <w:rsid w:val="00680292"/>
    <w:rsid w:val="0068227A"/>
    <w:rsid w:val="006828E0"/>
    <w:rsid w:val="006842B2"/>
    <w:rsid w:val="006842D2"/>
    <w:rsid w:val="006852E4"/>
    <w:rsid w:val="006908AC"/>
    <w:rsid w:val="00691BE2"/>
    <w:rsid w:val="00692503"/>
    <w:rsid w:val="00695DF0"/>
    <w:rsid w:val="00695FF6"/>
    <w:rsid w:val="006A11FC"/>
    <w:rsid w:val="006A2CA3"/>
    <w:rsid w:val="006A47DA"/>
    <w:rsid w:val="006A7911"/>
    <w:rsid w:val="006B2F1F"/>
    <w:rsid w:val="006B7122"/>
    <w:rsid w:val="006C1458"/>
    <w:rsid w:val="006C1D10"/>
    <w:rsid w:val="006C2908"/>
    <w:rsid w:val="006C2D53"/>
    <w:rsid w:val="006C3BB6"/>
    <w:rsid w:val="006C3CD9"/>
    <w:rsid w:val="006D17FA"/>
    <w:rsid w:val="006D1DE6"/>
    <w:rsid w:val="006D202A"/>
    <w:rsid w:val="006D348B"/>
    <w:rsid w:val="006D3C87"/>
    <w:rsid w:val="006D5144"/>
    <w:rsid w:val="006D531A"/>
    <w:rsid w:val="006D5B0E"/>
    <w:rsid w:val="006D7497"/>
    <w:rsid w:val="006E1694"/>
    <w:rsid w:val="006E336B"/>
    <w:rsid w:val="006E3CE2"/>
    <w:rsid w:val="006E4343"/>
    <w:rsid w:val="006E5738"/>
    <w:rsid w:val="006E6967"/>
    <w:rsid w:val="006E7252"/>
    <w:rsid w:val="006F212D"/>
    <w:rsid w:val="006F2673"/>
    <w:rsid w:val="006F3102"/>
    <w:rsid w:val="006F42B7"/>
    <w:rsid w:val="006F5923"/>
    <w:rsid w:val="006F5E46"/>
    <w:rsid w:val="006F714F"/>
    <w:rsid w:val="00700ABC"/>
    <w:rsid w:val="007017D9"/>
    <w:rsid w:val="007025FF"/>
    <w:rsid w:val="00704899"/>
    <w:rsid w:val="00705016"/>
    <w:rsid w:val="00705326"/>
    <w:rsid w:val="0070572A"/>
    <w:rsid w:val="00705DA0"/>
    <w:rsid w:val="00707EDF"/>
    <w:rsid w:val="0071007F"/>
    <w:rsid w:val="00711F15"/>
    <w:rsid w:val="00712132"/>
    <w:rsid w:val="007131A3"/>
    <w:rsid w:val="007154DD"/>
    <w:rsid w:val="00716782"/>
    <w:rsid w:val="00716DAC"/>
    <w:rsid w:val="007206D0"/>
    <w:rsid w:val="007279C7"/>
    <w:rsid w:val="00733142"/>
    <w:rsid w:val="00734873"/>
    <w:rsid w:val="00734FC0"/>
    <w:rsid w:val="007413F9"/>
    <w:rsid w:val="00741D3A"/>
    <w:rsid w:val="00742523"/>
    <w:rsid w:val="0074269D"/>
    <w:rsid w:val="00744DB7"/>
    <w:rsid w:val="00746822"/>
    <w:rsid w:val="00747DFE"/>
    <w:rsid w:val="007515FE"/>
    <w:rsid w:val="007548EE"/>
    <w:rsid w:val="00755849"/>
    <w:rsid w:val="00755CC1"/>
    <w:rsid w:val="00756658"/>
    <w:rsid w:val="00756A60"/>
    <w:rsid w:val="00757DF5"/>
    <w:rsid w:val="00766318"/>
    <w:rsid w:val="00767C9E"/>
    <w:rsid w:val="00771CEB"/>
    <w:rsid w:val="00772122"/>
    <w:rsid w:val="0077298E"/>
    <w:rsid w:val="007740D7"/>
    <w:rsid w:val="007757EB"/>
    <w:rsid w:val="00782F98"/>
    <w:rsid w:val="00783137"/>
    <w:rsid w:val="00783620"/>
    <w:rsid w:val="007845DD"/>
    <w:rsid w:val="00786F1B"/>
    <w:rsid w:val="007872AC"/>
    <w:rsid w:val="00794F11"/>
    <w:rsid w:val="00795940"/>
    <w:rsid w:val="00795A75"/>
    <w:rsid w:val="00795C4D"/>
    <w:rsid w:val="00795CEF"/>
    <w:rsid w:val="00797C20"/>
    <w:rsid w:val="007A0F5F"/>
    <w:rsid w:val="007A66DF"/>
    <w:rsid w:val="007B374D"/>
    <w:rsid w:val="007C0F61"/>
    <w:rsid w:val="007C102B"/>
    <w:rsid w:val="007C255A"/>
    <w:rsid w:val="007C2702"/>
    <w:rsid w:val="007C4E6C"/>
    <w:rsid w:val="007C5C71"/>
    <w:rsid w:val="007C5E19"/>
    <w:rsid w:val="007D0E88"/>
    <w:rsid w:val="007D3704"/>
    <w:rsid w:val="007D42E3"/>
    <w:rsid w:val="007D4473"/>
    <w:rsid w:val="007D59E8"/>
    <w:rsid w:val="007D66BD"/>
    <w:rsid w:val="007E1123"/>
    <w:rsid w:val="007E3BA4"/>
    <w:rsid w:val="007E3BE1"/>
    <w:rsid w:val="007E4ECA"/>
    <w:rsid w:val="007E5B5E"/>
    <w:rsid w:val="007F064C"/>
    <w:rsid w:val="007F181C"/>
    <w:rsid w:val="007F294C"/>
    <w:rsid w:val="007F29C5"/>
    <w:rsid w:val="007F554D"/>
    <w:rsid w:val="007F581C"/>
    <w:rsid w:val="007F709A"/>
    <w:rsid w:val="007F7997"/>
    <w:rsid w:val="008028F2"/>
    <w:rsid w:val="00802C7D"/>
    <w:rsid w:val="00806B6A"/>
    <w:rsid w:val="00806C3F"/>
    <w:rsid w:val="00806FF7"/>
    <w:rsid w:val="0081414D"/>
    <w:rsid w:val="00814F6E"/>
    <w:rsid w:val="0081551E"/>
    <w:rsid w:val="00821D54"/>
    <w:rsid w:val="00822107"/>
    <w:rsid w:val="00822F34"/>
    <w:rsid w:val="00823B16"/>
    <w:rsid w:val="00824AC9"/>
    <w:rsid w:val="008269EF"/>
    <w:rsid w:val="00830AB6"/>
    <w:rsid w:val="00831D7F"/>
    <w:rsid w:val="008341DF"/>
    <w:rsid w:val="00836132"/>
    <w:rsid w:val="00840474"/>
    <w:rsid w:val="00840882"/>
    <w:rsid w:val="00842FC8"/>
    <w:rsid w:val="0084388E"/>
    <w:rsid w:val="00845FC3"/>
    <w:rsid w:val="00846CA4"/>
    <w:rsid w:val="008479F1"/>
    <w:rsid w:val="00847B73"/>
    <w:rsid w:val="00847BA1"/>
    <w:rsid w:val="008518BF"/>
    <w:rsid w:val="008531FB"/>
    <w:rsid w:val="00854AC5"/>
    <w:rsid w:val="0085583D"/>
    <w:rsid w:val="008575A6"/>
    <w:rsid w:val="0085794F"/>
    <w:rsid w:val="00864546"/>
    <w:rsid w:val="00865627"/>
    <w:rsid w:val="008706F9"/>
    <w:rsid w:val="008721CA"/>
    <w:rsid w:val="00876FA3"/>
    <w:rsid w:val="008773C4"/>
    <w:rsid w:val="0087786D"/>
    <w:rsid w:val="008778CC"/>
    <w:rsid w:val="00877DA6"/>
    <w:rsid w:val="00884D8F"/>
    <w:rsid w:val="00885170"/>
    <w:rsid w:val="008911F8"/>
    <w:rsid w:val="0089159F"/>
    <w:rsid w:val="00891A3E"/>
    <w:rsid w:val="00891C38"/>
    <w:rsid w:val="0089688B"/>
    <w:rsid w:val="008A03FF"/>
    <w:rsid w:val="008A37EE"/>
    <w:rsid w:val="008A4461"/>
    <w:rsid w:val="008A5510"/>
    <w:rsid w:val="008A69AA"/>
    <w:rsid w:val="008B0F30"/>
    <w:rsid w:val="008B227C"/>
    <w:rsid w:val="008B2643"/>
    <w:rsid w:val="008B368B"/>
    <w:rsid w:val="008B4584"/>
    <w:rsid w:val="008B5D07"/>
    <w:rsid w:val="008B76BA"/>
    <w:rsid w:val="008C01CD"/>
    <w:rsid w:val="008C1C39"/>
    <w:rsid w:val="008C3087"/>
    <w:rsid w:val="008C543F"/>
    <w:rsid w:val="008D7495"/>
    <w:rsid w:val="008E098F"/>
    <w:rsid w:val="008E4A62"/>
    <w:rsid w:val="008E538C"/>
    <w:rsid w:val="008E5698"/>
    <w:rsid w:val="008E7550"/>
    <w:rsid w:val="008E7D4B"/>
    <w:rsid w:val="008F001C"/>
    <w:rsid w:val="008F060C"/>
    <w:rsid w:val="008F0889"/>
    <w:rsid w:val="008F278F"/>
    <w:rsid w:val="008F4B5B"/>
    <w:rsid w:val="008F7FE1"/>
    <w:rsid w:val="00900FBD"/>
    <w:rsid w:val="00901AF1"/>
    <w:rsid w:val="0090279A"/>
    <w:rsid w:val="009032FE"/>
    <w:rsid w:val="00903AB0"/>
    <w:rsid w:val="00903C01"/>
    <w:rsid w:val="00904D44"/>
    <w:rsid w:val="00905BC0"/>
    <w:rsid w:val="00907E09"/>
    <w:rsid w:val="00911BF2"/>
    <w:rsid w:val="009121E0"/>
    <w:rsid w:val="00912337"/>
    <w:rsid w:val="00913499"/>
    <w:rsid w:val="00913886"/>
    <w:rsid w:val="00914134"/>
    <w:rsid w:val="009169F1"/>
    <w:rsid w:val="00920FD4"/>
    <w:rsid w:val="009229DB"/>
    <w:rsid w:val="00923C8B"/>
    <w:rsid w:val="00925806"/>
    <w:rsid w:val="009276E2"/>
    <w:rsid w:val="00930596"/>
    <w:rsid w:val="0093642D"/>
    <w:rsid w:val="00937528"/>
    <w:rsid w:val="00937CBE"/>
    <w:rsid w:val="0094157E"/>
    <w:rsid w:val="009423A4"/>
    <w:rsid w:val="00942D33"/>
    <w:rsid w:val="00946CB0"/>
    <w:rsid w:val="00946CC0"/>
    <w:rsid w:val="00947D3C"/>
    <w:rsid w:val="00947F40"/>
    <w:rsid w:val="009515C6"/>
    <w:rsid w:val="00952882"/>
    <w:rsid w:val="00952F24"/>
    <w:rsid w:val="00953B44"/>
    <w:rsid w:val="00957D84"/>
    <w:rsid w:val="00967567"/>
    <w:rsid w:val="00971B13"/>
    <w:rsid w:val="00971E62"/>
    <w:rsid w:val="00972830"/>
    <w:rsid w:val="00974835"/>
    <w:rsid w:val="00975035"/>
    <w:rsid w:val="009757D4"/>
    <w:rsid w:val="00975811"/>
    <w:rsid w:val="009760EB"/>
    <w:rsid w:val="009838E3"/>
    <w:rsid w:val="0099093A"/>
    <w:rsid w:val="00991757"/>
    <w:rsid w:val="00991929"/>
    <w:rsid w:val="00997924"/>
    <w:rsid w:val="009A19EB"/>
    <w:rsid w:val="009A2058"/>
    <w:rsid w:val="009A4812"/>
    <w:rsid w:val="009A52A1"/>
    <w:rsid w:val="009A602E"/>
    <w:rsid w:val="009A6DB6"/>
    <w:rsid w:val="009A73AB"/>
    <w:rsid w:val="009B2084"/>
    <w:rsid w:val="009B3745"/>
    <w:rsid w:val="009B5490"/>
    <w:rsid w:val="009B7986"/>
    <w:rsid w:val="009C3146"/>
    <w:rsid w:val="009C3693"/>
    <w:rsid w:val="009C3C5E"/>
    <w:rsid w:val="009C5E92"/>
    <w:rsid w:val="009D031C"/>
    <w:rsid w:val="009D1F48"/>
    <w:rsid w:val="009D6D51"/>
    <w:rsid w:val="009D7141"/>
    <w:rsid w:val="009D75F2"/>
    <w:rsid w:val="009D7691"/>
    <w:rsid w:val="009D7AD3"/>
    <w:rsid w:val="009E27EF"/>
    <w:rsid w:val="009E4829"/>
    <w:rsid w:val="009E64D7"/>
    <w:rsid w:val="009E722E"/>
    <w:rsid w:val="009F136D"/>
    <w:rsid w:val="009F1E85"/>
    <w:rsid w:val="009F67BA"/>
    <w:rsid w:val="009F6847"/>
    <w:rsid w:val="009F7830"/>
    <w:rsid w:val="009F7B1B"/>
    <w:rsid w:val="00A02B20"/>
    <w:rsid w:val="00A035B7"/>
    <w:rsid w:val="00A03B66"/>
    <w:rsid w:val="00A07D47"/>
    <w:rsid w:val="00A11107"/>
    <w:rsid w:val="00A138BC"/>
    <w:rsid w:val="00A13D55"/>
    <w:rsid w:val="00A20529"/>
    <w:rsid w:val="00A2178F"/>
    <w:rsid w:val="00A22227"/>
    <w:rsid w:val="00A23BB1"/>
    <w:rsid w:val="00A27CB0"/>
    <w:rsid w:val="00A32AA5"/>
    <w:rsid w:val="00A3398D"/>
    <w:rsid w:val="00A3442B"/>
    <w:rsid w:val="00A346D3"/>
    <w:rsid w:val="00A352E1"/>
    <w:rsid w:val="00A36017"/>
    <w:rsid w:val="00A36D72"/>
    <w:rsid w:val="00A37597"/>
    <w:rsid w:val="00A40D2A"/>
    <w:rsid w:val="00A415A4"/>
    <w:rsid w:val="00A418D9"/>
    <w:rsid w:val="00A45986"/>
    <w:rsid w:val="00A47CC3"/>
    <w:rsid w:val="00A50C30"/>
    <w:rsid w:val="00A52A3A"/>
    <w:rsid w:val="00A53A61"/>
    <w:rsid w:val="00A5469B"/>
    <w:rsid w:val="00A61777"/>
    <w:rsid w:val="00A62B98"/>
    <w:rsid w:val="00A65275"/>
    <w:rsid w:val="00A66B90"/>
    <w:rsid w:val="00A6786B"/>
    <w:rsid w:val="00A729FD"/>
    <w:rsid w:val="00A73528"/>
    <w:rsid w:val="00A7377B"/>
    <w:rsid w:val="00A74207"/>
    <w:rsid w:val="00A753CE"/>
    <w:rsid w:val="00A75A1C"/>
    <w:rsid w:val="00A82A30"/>
    <w:rsid w:val="00A83C51"/>
    <w:rsid w:val="00A91A4A"/>
    <w:rsid w:val="00A9266A"/>
    <w:rsid w:val="00A92A05"/>
    <w:rsid w:val="00A94217"/>
    <w:rsid w:val="00A948AD"/>
    <w:rsid w:val="00A9492D"/>
    <w:rsid w:val="00A951B6"/>
    <w:rsid w:val="00A95D1C"/>
    <w:rsid w:val="00A96157"/>
    <w:rsid w:val="00AA08A4"/>
    <w:rsid w:val="00AA09BB"/>
    <w:rsid w:val="00AA13CD"/>
    <w:rsid w:val="00AA25B6"/>
    <w:rsid w:val="00AA26B6"/>
    <w:rsid w:val="00AA3AC1"/>
    <w:rsid w:val="00AA4F7A"/>
    <w:rsid w:val="00AA5120"/>
    <w:rsid w:val="00AA5A2F"/>
    <w:rsid w:val="00AA6B84"/>
    <w:rsid w:val="00AB3D5F"/>
    <w:rsid w:val="00AB6B97"/>
    <w:rsid w:val="00AB7DB7"/>
    <w:rsid w:val="00AC05C7"/>
    <w:rsid w:val="00AC1614"/>
    <w:rsid w:val="00AC18DC"/>
    <w:rsid w:val="00AC4A0E"/>
    <w:rsid w:val="00AC5785"/>
    <w:rsid w:val="00AC5B61"/>
    <w:rsid w:val="00AC6F89"/>
    <w:rsid w:val="00AD44EE"/>
    <w:rsid w:val="00AD4741"/>
    <w:rsid w:val="00AD590D"/>
    <w:rsid w:val="00AD5BA9"/>
    <w:rsid w:val="00AD5F64"/>
    <w:rsid w:val="00AD6B1B"/>
    <w:rsid w:val="00AD7C4F"/>
    <w:rsid w:val="00AE27EA"/>
    <w:rsid w:val="00AE4108"/>
    <w:rsid w:val="00AF0E56"/>
    <w:rsid w:val="00AF166C"/>
    <w:rsid w:val="00AF3B2D"/>
    <w:rsid w:val="00AF4AE4"/>
    <w:rsid w:val="00AF73E2"/>
    <w:rsid w:val="00AF7BF2"/>
    <w:rsid w:val="00B029F0"/>
    <w:rsid w:val="00B034C9"/>
    <w:rsid w:val="00B05F6E"/>
    <w:rsid w:val="00B06D20"/>
    <w:rsid w:val="00B13AFA"/>
    <w:rsid w:val="00B16444"/>
    <w:rsid w:val="00B17043"/>
    <w:rsid w:val="00B1731D"/>
    <w:rsid w:val="00B2023A"/>
    <w:rsid w:val="00B205CF"/>
    <w:rsid w:val="00B25EE8"/>
    <w:rsid w:val="00B27C3D"/>
    <w:rsid w:val="00B308D3"/>
    <w:rsid w:val="00B31339"/>
    <w:rsid w:val="00B31A0C"/>
    <w:rsid w:val="00B3314F"/>
    <w:rsid w:val="00B34116"/>
    <w:rsid w:val="00B3599C"/>
    <w:rsid w:val="00B36712"/>
    <w:rsid w:val="00B41630"/>
    <w:rsid w:val="00B431B9"/>
    <w:rsid w:val="00B43681"/>
    <w:rsid w:val="00B45F7A"/>
    <w:rsid w:val="00B46856"/>
    <w:rsid w:val="00B473DC"/>
    <w:rsid w:val="00B50F31"/>
    <w:rsid w:val="00B53685"/>
    <w:rsid w:val="00B56ECF"/>
    <w:rsid w:val="00B57183"/>
    <w:rsid w:val="00B57CC4"/>
    <w:rsid w:val="00B60E15"/>
    <w:rsid w:val="00B6303B"/>
    <w:rsid w:val="00B63374"/>
    <w:rsid w:val="00B63A2A"/>
    <w:rsid w:val="00B66C58"/>
    <w:rsid w:val="00B7198A"/>
    <w:rsid w:val="00B71C90"/>
    <w:rsid w:val="00B72DF3"/>
    <w:rsid w:val="00B72DF4"/>
    <w:rsid w:val="00B73D13"/>
    <w:rsid w:val="00B73FD8"/>
    <w:rsid w:val="00B76713"/>
    <w:rsid w:val="00B76DFC"/>
    <w:rsid w:val="00B77652"/>
    <w:rsid w:val="00B80405"/>
    <w:rsid w:val="00B81382"/>
    <w:rsid w:val="00B81483"/>
    <w:rsid w:val="00B853B3"/>
    <w:rsid w:val="00B85AF1"/>
    <w:rsid w:val="00B86DB8"/>
    <w:rsid w:val="00B8747A"/>
    <w:rsid w:val="00B90E36"/>
    <w:rsid w:val="00B93D8E"/>
    <w:rsid w:val="00B94BB7"/>
    <w:rsid w:val="00B95A53"/>
    <w:rsid w:val="00B95D57"/>
    <w:rsid w:val="00BA03AA"/>
    <w:rsid w:val="00BA0A4B"/>
    <w:rsid w:val="00BA2B01"/>
    <w:rsid w:val="00BA3E87"/>
    <w:rsid w:val="00BA55CE"/>
    <w:rsid w:val="00BA62B6"/>
    <w:rsid w:val="00BA66D2"/>
    <w:rsid w:val="00BA68E5"/>
    <w:rsid w:val="00BA7323"/>
    <w:rsid w:val="00BA7E3D"/>
    <w:rsid w:val="00BB280B"/>
    <w:rsid w:val="00BB2FC1"/>
    <w:rsid w:val="00BB39D2"/>
    <w:rsid w:val="00BB3E36"/>
    <w:rsid w:val="00BB56E4"/>
    <w:rsid w:val="00BB5806"/>
    <w:rsid w:val="00BB65F3"/>
    <w:rsid w:val="00BC0D6C"/>
    <w:rsid w:val="00BC2D5A"/>
    <w:rsid w:val="00BC2E43"/>
    <w:rsid w:val="00BC51D8"/>
    <w:rsid w:val="00BC541F"/>
    <w:rsid w:val="00BC57BA"/>
    <w:rsid w:val="00BC6E47"/>
    <w:rsid w:val="00BC729A"/>
    <w:rsid w:val="00BD018D"/>
    <w:rsid w:val="00BD1617"/>
    <w:rsid w:val="00BD2025"/>
    <w:rsid w:val="00BD236F"/>
    <w:rsid w:val="00BD4179"/>
    <w:rsid w:val="00BD7059"/>
    <w:rsid w:val="00BD7E6E"/>
    <w:rsid w:val="00BE079C"/>
    <w:rsid w:val="00BE0A26"/>
    <w:rsid w:val="00BE297E"/>
    <w:rsid w:val="00BE5FF2"/>
    <w:rsid w:val="00BE619F"/>
    <w:rsid w:val="00BF0220"/>
    <w:rsid w:val="00BF1A26"/>
    <w:rsid w:val="00BF1FE7"/>
    <w:rsid w:val="00BF2BA2"/>
    <w:rsid w:val="00BF61A9"/>
    <w:rsid w:val="00BF6483"/>
    <w:rsid w:val="00BF766E"/>
    <w:rsid w:val="00C0072E"/>
    <w:rsid w:val="00C01887"/>
    <w:rsid w:val="00C032EA"/>
    <w:rsid w:val="00C057B7"/>
    <w:rsid w:val="00C0693D"/>
    <w:rsid w:val="00C105A3"/>
    <w:rsid w:val="00C20059"/>
    <w:rsid w:val="00C2182A"/>
    <w:rsid w:val="00C2193F"/>
    <w:rsid w:val="00C21E25"/>
    <w:rsid w:val="00C257F3"/>
    <w:rsid w:val="00C27A8F"/>
    <w:rsid w:val="00C3530B"/>
    <w:rsid w:val="00C36F93"/>
    <w:rsid w:val="00C40784"/>
    <w:rsid w:val="00C40D32"/>
    <w:rsid w:val="00C422FB"/>
    <w:rsid w:val="00C42DED"/>
    <w:rsid w:val="00C446FA"/>
    <w:rsid w:val="00C44D02"/>
    <w:rsid w:val="00C454E7"/>
    <w:rsid w:val="00C46709"/>
    <w:rsid w:val="00C46D3B"/>
    <w:rsid w:val="00C55E45"/>
    <w:rsid w:val="00C60685"/>
    <w:rsid w:val="00C629D7"/>
    <w:rsid w:val="00C62B47"/>
    <w:rsid w:val="00C62EB6"/>
    <w:rsid w:val="00C643B6"/>
    <w:rsid w:val="00C661BD"/>
    <w:rsid w:val="00C674A8"/>
    <w:rsid w:val="00C67615"/>
    <w:rsid w:val="00C71FD8"/>
    <w:rsid w:val="00C728CC"/>
    <w:rsid w:val="00C72D51"/>
    <w:rsid w:val="00C72EBA"/>
    <w:rsid w:val="00C730C9"/>
    <w:rsid w:val="00C73FC7"/>
    <w:rsid w:val="00C74B85"/>
    <w:rsid w:val="00C771BC"/>
    <w:rsid w:val="00C77E10"/>
    <w:rsid w:val="00C80967"/>
    <w:rsid w:val="00C8143D"/>
    <w:rsid w:val="00C81B53"/>
    <w:rsid w:val="00C81EA8"/>
    <w:rsid w:val="00C91DF2"/>
    <w:rsid w:val="00C93F3F"/>
    <w:rsid w:val="00C94F88"/>
    <w:rsid w:val="00C96022"/>
    <w:rsid w:val="00CA0241"/>
    <w:rsid w:val="00CA3108"/>
    <w:rsid w:val="00CA3A34"/>
    <w:rsid w:val="00CA5618"/>
    <w:rsid w:val="00CA7E81"/>
    <w:rsid w:val="00CA7EA9"/>
    <w:rsid w:val="00CB15DA"/>
    <w:rsid w:val="00CB4520"/>
    <w:rsid w:val="00CB4ED6"/>
    <w:rsid w:val="00CB54FE"/>
    <w:rsid w:val="00CC0878"/>
    <w:rsid w:val="00CC0AAA"/>
    <w:rsid w:val="00CC1424"/>
    <w:rsid w:val="00CC439C"/>
    <w:rsid w:val="00CC4D6D"/>
    <w:rsid w:val="00CC7F08"/>
    <w:rsid w:val="00CD0B8F"/>
    <w:rsid w:val="00CD386A"/>
    <w:rsid w:val="00CD420E"/>
    <w:rsid w:val="00CD6A5F"/>
    <w:rsid w:val="00CD72CA"/>
    <w:rsid w:val="00CD7A6E"/>
    <w:rsid w:val="00CD7EC6"/>
    <w:rsid w:val="00CE0BC8"/>
    <w:rsid w:val="00CE232F"/>
    <w:rsid w:val="00CE26D0"/>
    <w:rsid w:val="00CE425E"/>
    <w:rsid w:val="00CE6189"/>
    <w:rsid w:val="00CE6F18"/>
    <w:rsid w:val="00CE7115"/>
    <w:rsid w:val="00CF07E7"/>
    <w:rsid w:val="00CF1037"/>
    <w:rsid w:val="00CF4555"/>
    <w:rsid w:val="00CF4697"/>
    <w:rsid w:val="00D002E1"/>
    <w:rsid w:val="00D005B5"/>
    <w:rsid w:val="00D04CB8"/>
    <w:rsid w:val="00D1472A"/>
    <w:rsid w:val="00D149C2"/>
    <w:rsid w:val="00D16E7F"/>
    <w:rsid w:val="00D23BB6"/>
    <w:rsid w:val="00D26228"/>
    <w:rsid w:val="00D27824"/>
    <w:rsid w:val="00D27F90"/>
    <w:rsid w:val="00D33C0D"/>
    <w:rsid w:val="00D33C9B"/>
    <w:rsid w:val="00D40B31"/>
    <w:rsid w:val="00D4115D"/>
    <w:rsid w:val="00D41804"/>
    <w:rsid w:val="00D522CF"/>
    <w:rsid w:val="00D52363"/>
    <w:rsid w:val="00D56D25"/>
    <w:rsid w:val="00D56F8A"/>
    <w:rsid w:val="00D62B69"/>
    <w:rsid w:val="00D63722"/>
    <w:rsid w:val="00D64605"/>
    <w:rsid w:val="00D64E5B"/>
    <w:rsid w:val="00D67692"/>
    <w:rsid w:val="00D677BB"/>
    <w:rsid w:val="00D67971"/>
    <w:rsid w:val="00D70FAD"/>
    <w:rsid w:val="00D70FE8"/>
    <w:rsid w:val="00D720C4"/>
    <w:rsid w:val="00D72817"/>
    <w:rsid w:val="00D732E2"/>
    <w:rsid w:val="00D74C36"/>
    <w:rsid w:val="00D74F85"/>
    <w:rsid w:val="00D7613B"/>
    <w:rsid w:val="00D768E0"/>
    <w:rsid w:val="00D77AFE"/>
    <w:rsid w:val="00D82212"/>
    <w:rsid w:val="00D82B03"/>
    <w:rsid w:val="00D836EF"/>
    <w:rsid w:val="00D86D3F"/>
    <w:rsid w:val="00D932C9"/>
    <w:rsid w:val="00D93679"/>
    <w:rsid w:val="00D9472C"/>
    <w:rsid w:val="00D955E6"/>
    <w:rsid w:val="00D95A92"/>
    <w:rsid w:val="00D96B5F"/>
    <w:rsid w:val="00D96EEF"/>
    <w:rsid w:val="00DA126A"/>
    <w:rsid w:val="00DA534F"/>
    <w:rsid w:val="00DA59E7"/>
    <w:rsid w:val="00DA63B9"/>
    <w:rsid w:val="00DA7EE4"/>
    <w:rsid w:val="00DB063B"/>
    <w:rsid w:val="00DB1B56"/>
    <w:rsid w:val="00DB3EFF"/>
    <w:rsid w:val="00DB4F70"/>
    <w:rsid w:val="00DB4FEB"/>
    <w:rsid w:val="00DB7D1A"/>
    <w:rsid w:val="00DC2445"/>
    <w:rsid w:val="00DC708E"/>
    <w:rsid w:val="00DD0440"/>
    <w:rsid w:val="00DD1B83"/>
    <w:rsid w:val="00DD341C"/>
    <w:rsid w:val="00DD3831"/>
    <w:rsid w:val="00DD3C81"/>
    <w:rsid w:val="00DD449B"/>
    <w:rsid w:val="00DD500A"/>
    <w:rsid w:val="00DD54B8"/>
    <w:rsid w:val="00DD599A"/>
    <w:rsid w:val="00DE02A5"/>
    <w:rsid w:val="00DE2422"/>
    <w:rsid w:val="00DE264C"/>
    <w:rsid w:val="00DE3B45"/>
    <w:rsid w:val="00DE5042"/>
    <w:rsid w:val="00DE51D6"/>
    <w:rsid w:val="00DE6790"/>
    <w:rsid w:val="00DE68C2"/>
    <w:rsid w:val="00DF23F9"/>
    <w:rsid w:val="00DF2425"/>
    <w:rsid w:val="00DF26B4"/>
    <w:rsid w:val="00DF4EFF"/>
    <w:rsid w:val="00DF6767"/>
    <w:rsid w:val="00DF6E05"/>
    <w:rsid w:val="00DF708F"/>
    <w:rsid w:val="00DF784A"/>
    <w:rsid w:val="00E04159"/>
    <w:rsid w:val="00E0435D"/>
    <w:rsid w:val="00E0631C"/>
    <w:rsid w:val="00E06C3E"/>
    <w:rsid w:val="00E10EC7"/>
    <w:rsid w:val="00E11844"/>
    <w:rsid w:val="00E136E0"/>
    <w:rsid w:val="00E14D47"/>
    <w:rsid w:val="00E1573C"/>
    <w:rsid w:val="00E17BF2"/>
    <w:rsid w:val="00E17F0D"/>
    <w:rsid w:val="00E22A1D"/>
    <w:rsid w:val="00E2585D"/>
    <w:rsid w:val="00E26E64"/>
    <w:rsid w:val="00E27964"/>
    <w:rsid w:val="00E27F7D"/>
    <w:rsid w:val="00E30058"/>
    <w:rsid w:val="00E3141C"/>
    <w:rsid w:val="00E32EE8"/>
    <w:rsid w:val="00E35B9C"/>
    <w:rsid w:val="00E42E9E"/>
    <w:rsid w:val="00E42F9C"/>
    <w:rsid w:val="00E4394A"/>
    <w:rsid w:val="00E44372"/>
    <w:rsid w:val="00E4502A"/>
    <w:rsid w:val="00E46774"/>
    <w:rsid w:val="00E46858"/>
    <w:rsid w:val="00E46A62"/>
    <w:rsid w:val="00E5098F"/>
    <w:rsid w:val="00E51148"/>
    <w:rsid w:val="00E5280D"/>
    <w:rsid w:val="00E533A0"/>
    <w:rsid w:val="00E562DC"/>
    <w:rsid w:val="00E577AC"/>
    <w:rsid w:val="00E60085"/>
    <w:rsid w:val="00E62C0D"/>
    <w:rsid w:val="00E64338"/>
    <w:rsid w:val="00E66EF0"/>
    <w:rsid w:val="00E70C83"/>
    <w:rsid w:val="00E70E88"/>
    <w:rsid w:val="00E71138"/>
    <w:rsid w:val="00E720DF"/>
    <w:rsid w:val="00E74285"/>
    <w:rsid w:val="00E74E5F"/>
    <w:rsid w:val="00E74F0E"/>
    <w:rsid w:val="00E754EA"/>
    <w:rsid w:val="00E75B6A"/>
    <w:rsid w:val="00E805BF"/>
    <w:rsid w:val="00E812FE"/>
    <w:rsid w:val="00E82346"/>
    <w:rsid w:val="00E82674"/>
    <w:rsid w:val="00E83787"/>
    <w:rsid w:val="00E86B0D"/>
    <w:rsid w:val="00E92C7B"/>
    <w:rsid w:val="00E92FD9"/>
    <w:rsid w:val="00E94757"/>
    <w:rsid w:val="00E95A5B"/>
    <w:rsid w:val="00E95EF9"/>
    <w:rsid w:val="00E96C68"/>
    <w:rsid w:val="00E97EE1"/>
    <w:rsid w:val="00EA1FFB"/>
    <w:rsid w:val="00EA54CF"/>
    <w:rsid w:val="00EA7625"/>
    <w:rsid w:val="00EB15BF"/>
    <w:rsid w:val="00EB1937"/>
    <w:rsid w:val="00EB2E28"/>
    <w:rsid w:val="00EC054E"/>
    <w:rsid w:val="00EC1BD1"/>
    <w:rsid w:val="00EC2374"/>
    <w:rsid w:val="00EC4C14"/>
    <w:rsid w:val="00EC4EE9"/>
    <w:rsid w:val="00EC5D0C"/>
    <w:rsid w:val="00ED0354"/>
    <w:rsid w:val="00ED214E"/>
    <w:rsid w:val="00ED22D0"/>
    <w:rsid w:val="00ED64C9"/>
    <w:rsid w:val="00EE0714"/>
    <w:rsid w:val="00EE167B"/>
    <w:rsid w:val="00EE385D"/>
    <w:rsid w:val="00EE3A1D"/>
    <w:rsid w:val="00EE54A1"/>
    <w:rsid w:val="00EF101C"/>
    <w:rsid w:val="00EF5D65"/>
    <w:rsid w:val="00EF6427"/>
    <w:rsid w:val="00F015CC"/>
    <w:rsid w:val="00F01E4E"/>
    <w:rsid w:val="00F03841"/>
    <w:rsid w:val="00F04712"/>
    <w:rsid w:val="00F053F8"/>
    <w:rsid w:val="00F06085"/>
    <w:rsid w:val="00F07B27"/>
    <w:rsid w:val="00F11339"/>
    <w:rsid w:val="00F1252D"/>
    <w:rsid w:val="00F12ED2"/>
    <w:rsid w:val="00F13811"/>
    <w:rsid w:val="00F1420C"/>
    <w:rsid w:val="00F16D85"/>
    <w:rsid w:val="00F2009D"/>
    <w:rsid w:val="00F23253"/>
    <w:rsid w:val="00F2434B"/>
    <w:rsid w:val="00F24B80"/>
    <w:rsid w:val="00F268A7"/>
    <w:rsid w:val="00F27E76"/>
    <w:rsid w:val="00F305CA"/>
    <w:rsid w:val="00F32439"/>
    <w:rsid w:val="00F3455E"/>
    <w:rsid w:val="00F348AA"/>
    <w:rsid w:val="00F357C6"/>
    <w:rsid w:val="00F36F36"/>
    <w:rsid w:val="00F378A4"/>
    <w:rsid w:val="00F404FB"/>
    <w:rsid w:val="00F407D1"/>
    <w:rsid w:val="00F41978"/>
    <w:rsid w:val="00F4251A"/>
    <w:rsid w:val="00F44A80"/>
    <w:rsid w:val="00F44F8F"/>
    <w:rsid w:val="00F45193"/>
    <w:rsid w:val="00F45CA1"/>
    <w:rsid w:val="00F464E8"/>
    <w:rsid w:val="00F50146"/>
    <w:rsid w:val="00F52C7B"/>
    <w:rsid w:val="00F53B03"/>
    <w:rsid w:val="00F54390"/>
    <w:rsid w:val="00F55617"/>
    <w:rsid w:val="00F55955"/>
    <w:rsid w:val="00F55BBD"/>
    <w:rsid w:val="00F56060"/>
    <w:rsid w:val="00F560F8"/>
    <w:rsid w:val="00F571B5"/>
    <w:rsid w:val="00F57343"/>
    <w:rsid w:val="00F57BB8"/>
    <w:rsid w:val="00F57BDF"/>
    <w:rsid w:val="00F62249"/>
    <w:rsid w:val="00F645FA"/>
    <w:rsid w:val="00F668BF"/>
    <w:rsid w:val="00F66D43"/>
    <w:rsid w:val="00F701C9"/>
    <w:rsid w:val="00F711E0"/>
    <w:rsid w:val="00F72E88"/>
    <w:rsid w:val="00F74CA3"/>
    <w:rsid w:val="00F81A68"/>
    <w:rsid w:val="00F83639"/>
    <w:rsid w:val="00F8573E"/>
    <w:rsid w:val="00F85C06"/>
    <w:rsid w:val="00F85E89"/>
    <w:rsid w:val="00F864DD"/>
    <w:rsid w:val="00F86D93"/>
    <w:rsid w:val="00F87117"/>
    <w:rsid w:val="00F924DA"/>
    <w:rsid w:val="00F96117"/>
    <w:rsid w:val="00F968BB"/>
    <w:rsid w:val="00FA143E"/>
    <w:rsid w:val="00FA3523"/>
    <w:rsid w:val="00FA4575"/>
    <w:rsid w:val="00FA4A05"/>
    <w:rsid w:val="00FB18EB"/>
    <w:rsid w:val="00FB1D25"/>
    <w:rsid w:val="00FB1EA9"/>
    <w:rsid w:val="00FB23EB"/>
    <w:rsid w:val="00FB3276"/>
    <w:rsid w:val="00FB44AC"/>
    <w:rsid w:val="00FB5001"/>
    <w:rsid w:val="00FC01C4"/>
    <w:rsid w:val="00FC40B0"/>
    <w:rsid w:val="00FC4261"/>
    <w:rsid w:val="00FC5327"/>
    <w:rsid w:val="00FC53B6"/>
    <w:rsid w:val="00FC53E5"/>
    <w:rsid w:val="00FD03B4"/>
    <w:rsid w:val="00FD0B3A"/>
    <w:rsid w:val="00FD1DCA"/>
    <w:rsid w:val="00FE2275"/>
    <w:rsid w:val="00FE4DCA"/>
    <w:rsid w:val="00FE5492"/>
    <w:rsid w:val="00FE6056"/>
    <w:rsid w:val="00FF32A3"/>
    <w:rsid w:val="00FF5D4C"/>
    <w:rsid w:val="00FF60DF"/>
    <w:rsid w:val="00FF6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D64648-1746-4627-B0FD-D4D3BE7E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51"/>
  </w:style>
  <w:style w:type="paragraph" w:styleId="Heading1">
    <w:name w:val="heading 1"/>
    <w:basedOn w:val="Normal"/>
    <w:next w:val="Normal"/>
    <w:link w:val="Heading1Char"/>
    <w:uiPriority w:val="9"/>
    <w:qFormat/>
    <w:rsid w:val="002B3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3A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B3AB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314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3A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3AB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B3ABB"/>
    <w:rPr>
      <w:rFonts w:asciiTheme="majorHAnsi" w:eastAsiaTheme="majorEastAsia" w:hAnsiTheme="majorHAnsi" w:cstheme="majorBidi"/>
      <w:b/>
      <w:bCs/>
      <w:color w:val="365F91" w:themeColor="accent1" w:themeShade="BF"/>
      <w:sz w:val="28"/>
      <w:szCs w:val="28"/>
    </w:rPr>
  </w:style>
  <w:style w:type="paragraph" w:customStyle="1" w:styleId="Obicanparagraf">
    <w:name w:val="Obican paragraf"/>
    <w:basedOn w:val="Normal"/>
    <w:rsid w:val="002B3ABB"/>
    <w:pPr>
      <w:spacing w:after="100" w:line="280" w:lineRule="exact"/>
      <w:jc w:val="both"/>
    </w:pPr>
    <w:rPr>
      <w:rFonts w:ascii="Garamond" w:eastAsia="Times New Roman" w:hAnsi="Garamond" w:cs="Times New Roman"/>
      <w:szCs w:val="20"/>
      <w:lang w:val="hr-HR"/>
    </w:rPr>
  </w:style>
  <w:style w:type="paragraph" w:styleId="FootnoteText">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FootnoteTextChar"/>
    <w:uiPriority w:val="99"/>
    <w:rsid w:val="002B3ABB"/>
    <w:pPr>
      <w:jc w:val="both"/>
    </w:pPr>
    <w:rPr>
      <w:rFonts w:ascii="Times New Roman" w:eastAsia="Times New Roman" w:hAnsi="Times New Roman" w:cs="Times New Roman"/>
      <w:sz w:val="20"/>
      <w:szCs w:val="20"/>
      <w:lang w:val="hr-HR" w:eastAsia="hr-HR"/>
    </w:rPr>
  </w:style>
  <w:style w:type="character" w:customStyle="1" w:styleId="FootnoteTextChar">
    <w:name w:val="Footnote Text Char"/>
    <w:aliases w:val="Tekst fusnote Char2 Char Char,Tekst fusnote Char1 Char1 Char Char,Tekst fusnote Char Char Char1 Char Char,Tekst fusnote Char1 Char Char Char Char Char,Tekst fusnote Char Char Char Char Char Char Char,fn Char,Fußnote Char"/>
    <w:basedOn w:val="DefaultParagraphFont"/>
    <w:link w:val="FootnoteText"/>
    <w:uiPriority w:val="99"/>
    <w:rsid w:val="002B3ABB"/>
    <w:rPr>
      <w:rFonts w:ascii="Times New Roman" w:eastAsia="Times New Roman" w:hAnsi="Times New Roman" w:cs="Times New Roman"/>
      <w:sz w:val="20"/>
      <w:szCs w:val="20"/>
      <w:lang w:val="hr-HR" w:eastAsia="hr-HR"/>
    </w:rPr>
  </w:style>
  <w:style w:type="character" w:styleId="FootnoteReference">
    <w:name w:val="footnote reference"/>
    <w:aliases w:val="BVI fnr,16 Point,Superscript 6 Point"/>
    <w:uiPriority w:val="99"/>
    <w:rsid w:val="002B3ABB"/>
    <w:rPr>
      <w:vertAlign w:val="superscript"/>
    </w:rPr>
  </w:style>
  <w:style w:type="paragraph" w:customStyle="1" w:styleId="T-98-2">
    <w:name w:val="T-9/8-2"/>
    <w:rsid w:val="002B3AB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hr-HR" w:eastAsia="hr-HR"/>
    </w:rPr>
  </w:style>
  <w:style w:type="character" w:styleId="Hyperlink">
    <w:name w:val="Hyperlink"/>
    <w:uiPriority w:val="99"/>
    <w:rsid w:val="002B3ABB"/>
    <w:rPr>
      <w:color w:val="0000FF"/>
      <w:u w:val="single"/>
    </w:rPr>
  </w:style>
  <w:style w:type="character" w:styleId="CommentReference">
    <w:name w:val="annotation reference"/>
    <w:basedOn w:val="DefaultParagraphFont"/>
    <w:uiPriority w:val="99"/>
    <w:semiHidden/>
    <w:unhideWhenUsed/>
    <w:rsid w:val="002B3ABB"/>
    <w:rPr>
      <w:sz w:val="16"/>
      <w:szCs w:val="16"/>
    </w:rPr>
  </w:style>
  <w:style w:type="paragraph" w:styleId="CommentText">
    <w:name w:val="annotation text"/>
    <w:basedOn w:val="Normal"/>
    <w:link w:val="CommentTextChar"/>
    <w:uiPriority w:val="99"/>
    <w:semiHidden/>
    <w:unhideWhenUsed/>
    <w:rsid w:val="002B3ABB"/>
    <w:pPr>
      <w:spacing w:line="240" w:lineRule="auto"/>
      <w:jc w:val="both"/>
    </w:pPr>
    <w:rPr>
      <w:rFonts w:ascii="Times New Roman" w:eastAsia="Times New Roman" w:hAnsi="Times New Roman" w:cs="Times New Roman"/>
      <w:sz w:val="20"/>
      <w:szCs w:val="20"/>
      <w:lang w:val="en-US" w:eastAsia="hr-HR"/>
    </w:rPr>
  </w:style>
  <w:style w:type="character" w:customStyle="1" w:styleId="CommentTextChar">
    <w:name w:val="Comment Text Char"/>
    <w:basedOn w:val="DefaultParagraphFont"/>
    <w:link w:val="CommentText"/>
    <w:uiPriority w:val="99"/>
    <w:semiHidden/>
    <w:rsid w:val="002B3ABB"/>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unhideWhenUsed/>
    <w:rsid w:val="002B3A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ABB"/>
    <w:rPr>
      <w:rFonts w:ascii="Tahoma" w:hAnsi="Tahoma" w:cs="Tahoma"/>
      <w:sz w:val="16"/>
      <w:szCs w:val="16"/>
    </w:rPr>
  </w:style>
  <w:style w:type="character" w:customStyle="1" w:styleId="Heading2Char">
    <w:name w:val="Heading 2 Char"/>
    <w:basedOn w:val="DefaultParagraphFont"/>
    <w:link w:val="Heading2"/>
    <w:uiPriority w:val="9"/>
    <w:rsid w:val="002B3A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3ABB"/>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2B3ABB"/>
    <w:pPr>
      <w:spacing w:line="240" w:lineRule="auto"/>
    </w:pPr>
    <w:rPr>
      <w:b/>
      <w:bCs/>
      <w:color w:val="4F81BD" w:themeColor="accent1"/>
      <w:sz w:val="18"/>
      <w:szCs w:val="18"/>
    </w:rPr>
  </w:style>
  <w:style w:type="paragraph" w:styleId="ListParagraph">
    <w:name w:val="List Paragraph"/>
    <w:basedOn w:val="Normal"/>
    <w:uiPriority w:val="34"/>
    <w:qFormat/>
    <w:rsid w:val="002B3ABB"/>
    <w:pPr>
      <w:ind w:left="720"/>
      <w:contextualSpacing/>
    </w:pPr>
  </w:style>
  <w:style w:type="paragraph" w:styleId="Subtitle">
    <w:name w:val="Subtitle"/>
    <w:basedOn w:val="Normal"/>
    <w:next w:val="Normal"/>
    <w:link w:val="SubtitleChar"/>
    <w:qFormat/>
    <w:rsid w:val="00946CC0"/>
    <w:pPr>
      <w:spacing w:after="60"/>
      <w:jc w:val="both"/>
      <w:outlineLvl w:val="1"/>
    </w:pPr>
    <w:rPr>
      <w:rFonts w:ascii="Arial" w:eastAsia="Times New Roman" w:hAnsi="Arial" w:cs="Times New Roman"/>
      <w:b/>
      <w:sz w:val="24"/>
      <w:szCs w:val="24"/>
      <w:lang w:val="en-US" w:eastAsia="hr-HR"/>
    </w:rPr>
  </w:style>
  <w:style w:type="character" w:customStyle="1" w:styleId="SubtitleChar">
    <w:name w:val="Subtitle Char"/>
    <w:basedOn w:val="DefaultParagraphFont"/>
    <w:link w:val="Subtitle"/>
    <w:rsid w:val="00946CC0"/>
    <w:rPr>
      <w:rFonts w:ascii="Arial" w:eastAsia="Times New Roman" w:hAnsi="Arial" w:cs="Times New Roman"/>
      <w:b/>
      <w:sz w:val="24"/>
      <w:szCs w:val="24"/>
      <w:lang w:val="en-US" w:eastAsia="hr-HR"/>
    </w:rPr>
  </w:style>
  <w:style w:type="paragraph" w:customStyle="1" w:styleId="Body">
    <w:name w:val="Body"/>
    <w:link w:val="BodyChar"/>
    <w:rsid w:val="00946CC0"/>
    <w:pPr>
      <w:keepLines/>
      <w:spacing w:before="120" w:after="120" w:line="240" w:lineRule="atLeast"/>
      <w:ind w:left="567"/>
    </w:pPr>
    <w:rPr>
      <w:rFonts w:ascii="Times New Roman" w:eastAsia="Times New Roman" w:hAnsi="Times New Roman" w:cs="Times New Roman"/>
      <w:sz w:val="24"/>
      <w:szCs w:val="20"/>
      <w:lang w:val="en-AU"/>
    </w:rPr>
  </w:style>
  <w:style w:type="character" w:customStyle="1" w:styleId="BodyChar">
    <w:name w:val="Body Char"/>
    <w:link w:val="Body"/>
    <w:rsid w:val="00946CC0"/>
    <w:rPr>
      <w:rFonts w:ascii="Times New Roman" w:eastAsia="Times New Roman" w:hAnsi="Times New Roman" w:cs="Times New Roman"/>
      <w:sz w:val="24"/>
      <w:szCs w:val="20"/>
      <w:lang w:val="en-AU"/>
    </w:rPr>
  </w:style>
  <w:style w:type="character" w:customStyle="1" w:styleId="Heading4Char">
    <w:name w:val="Heading 4 Char"/>
    <w:basedOn w:val="DefaultParagraphFont"/>
    <w:link w:val="Heading4"/>
    <w:uiPriority w:val="9"/>
    <w:rsid w:val="00E3141C"/>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D82212"/>
    <w:pPr>
      <w:outlineLvl w:val="9"/>
    </w:pPr>
    <w:rPr>
      <w:lang w:val="en-US" w:eastAsia="ja-JP"/>
    </w:rPr>
  </w:style>
  <w:style w:type="paragraph" w:styleId="TOC1">
    <w:name w:val="toc 1"/>
    <w:basedOn w:val="Normal"/>
    <w:next w:val="Normal"/>
    <w:autoRedefine/>
    <w:uiPriority w:val="39"/>
    <w:unhideWhenUsed/>
    <w:rsid w:val="00FA4575"/>
    <w:pPr>
      <w:tabs>
        <w:tab w:val="left" w:pos="440"/>
        <w:tab w:val="right" w:leader="dot" w:pos="9062"/>
      </w:tabs>
      <w:spacing w:after="100" w:line="240" w:lineRule="auto"/>
    </w:pPr>
  </w:style>
  <w:style w:type="paragraph" w:styleId="TOC2">
    <w:name w:val="toc 2"/>
    <w:basedOn w:val="Normal"/>
    <w:next w:val="Normal"/>
    <w:autoRedefine/>
    <w:uiPriority w:val="39"/>
    <w:unhideWhenUsed/>
    <w:rsid w:val="00FA4575"/>
    <w:pPr>
      <w:tabs>
        <w:tab w:val="left" w:pos="880"/>
        <w:tab w:val="right" w:leader="dot" w:pos="9062"/>
      </w:tabs>
      <w:spacing w:after="100" w:line="240" w:lineRule="auto"/>
      <w:ind w:left="221"/>
    </w:pPr>
  </w:style>
  <w:style w:type="paragraph" w:styleId="TOC3">
    <w:name w:val="toc 3"/>
    <w:basedOn w:val="Normal"/>
    <w:next w:val="Normal"/>
    <w:autoRedefine/>
    <w:uiPriority w:val="39"/>
    <w:unhideWhenUsed/>
    <w:rsid w:val="00FA4575"/>
    <w:pPr>
      <w:tabs>
        <w:tab w:val="right" w:leader="dot" w:pos="9062"/>
      </w:tabs>
      <w:spacing w:after="100" w:line="240" w:lineRule="auto"/>
      <w:ind w:left="442"/>
    </w:pPr>
  </w:style>
  <w:style w:type="paragraph" w:styleId="TableofFigures">
    <w:name w:val="table of figures"/>
    <w:basedOn w:val="Normal"/>
    <w:next w:val="Normal"/>
    <w:uiPriority w:val="99"/>
    <w:unhideWhenUsed/>
    <w:rsid w:val="004F6B28"/>
  </w:style>
  <w:style w:type="paragraph" w:styleId="Header">
    <w:name w:val="header"/>
    <w:basedOn w:val="Normal"/>
    <w:link w:val="HeaderChar"/>
    <w:uiPriority w:val="99"/>
    <w:unhideWhenUsed/>
    <w:rsid w:val="00BC2D5A"/>
    <w:pPr>
      <w:tabs>
        <w:tab w:val="center" w:pos="4536"/>
        <w:tab w:val="right" w:pos="9072"/>
      </w:tabs>
      <w:spacing w:line="240" w:lineRule="auto"/>
    </w:pPr>
  </w:style>
  <w:style w:type="character" w:customStyle="1" w:styleId="HeaderChar">
    <w:name w:val="Header Char"/>
    <w:basedOn w:val="DefaultParagraphFont"/>
    <w:link w:val="Header"/>
    <w:uiPriority w:val="99"/>
    <w:rsid w:val="00BC2D5A"/>
  </w:style>
  <w:style w:type="paragraph" w:styleId="Footer">
    <w:name w:val="footer"/>
    <w:basedOn w:val="Normal"/>
    <w:link w:val="FooterChar"/>
    <w:uiPriority w:val="99"/>
    <w:unhideWhenUsed/>
    <w:rsid w:val="00BC2D5A"/>
    <w:pPr>
      <w:tabs>
        <w:tab w:val="center" w:pos="4536"/>
        <w:tab w:val="right" w:pos="9072"/>
      </w:tabs>
      <w:spacing w:line="240" w:lineRule="auto"/>
    </w:pPr>
  </w:style>
  <w:style w:type="character" w:customStyle="1" w:styleId="FooterChar">
    <w:name w:val="Footer Char"/>
    <w:basedOn w:val="DefaultParagraphFont"/>
    <w:link w:val="Footer"/>
    <w:uiPriority w:val="99"/>
    <w:rsid w:val="00BC2D5A"/>
  </w:style>
  <w:style w:type="paragraph" w:customStyle="1" w:styleId="DecimalAligned">
    <w:name w:val="Decimal Aligned"/>
    <w:basedOn w:val="Normal"/>
    <w:uiPriority w:val="40"/>
    <w:qFormat/>
    <w:rsid w:val="00716DAC"/>
    <w:pPr>
      <w:tabs>
        <w:tab w:val="decimal" w:pos="360"/>
      </w:tabs>
    </w:pPr>
    <w:rPr>
      <w:lang w:val="hr-HR" w:eastAsia="hr-HR"/>
    </w:rPr>
  </w:style>
  <w:style w:type="character" w:styleId="SubtleEmphasis">
    <w:name w:val="Subtle Emphasis"/>
    <w:basedOn w:val="DefaultParagraphFont"/>
    <w:uiPriority w:val="19"/>
    <w:qFormat/>
    <w:rsid w:val="00716DAC"/>
    <w:rPr>
      <w:i/>
      <w:iCs/>
      <w:color w:val="7F7F7F" w:themeColor="text1" w:themeTint="80"/>
    </w:rPr>
  </w:style>
  <w:style w:type="table" w:styleId="LightShading-Accent1">
    <w:name w:val="Light Shading Accent 1"/>
    <w:basedOn w:val="TableNormal"/>
    <w:uiPriority w:val="60"/>
    <w:rsid w:val="00716DAC"/>
    <w:pPr>
      <w:spacing w:line="240" w:lineRule="auto"/>
    </w:pPr>
    <w:rPr>
      <w:rFonts w:eastAsiaTheme="minorEastAsia"/>
      <w:color w:val="365F91" w:themeColor="accent1" w:themeShade="BF"/>
      <w:lang w:val="hr-HR" w:eastAsia="hr-H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9F136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D66BD"/>
    <w:pPr>
      <w:jc w:val="left"/>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7D66BD"/>
    <w:rPr>
      <w:rFonts w:ascii="Times New Roman" w:eastAsia="Times New Roman" w:hAnsi="Times New Roman" w:cs="Times New Roman"/>
      <w:b/>
      <w:bCs/>
      <w:sz w:val="20"/>
      <w:szCs w:val="20"/>
      <w:lang w:val="en-US" w:eastAsia="hr-HR"/>
    </w:rPr>
  </w:style>
  <w:style w:type="table" w:styleId="TableGrid">
    <w:name w:val="Table Grid"/>
    <w:basedOn w:val="TableNormal"/>
    <w:uiPriority w:val="59"/>
    <w:rsid w:val="004F0F5A"/>
    <w:pPr>
      <w:spacing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5E38E9"/>
    <w:pPr>
      <w:numPr>
        <w:numId w:val="31"/>
      </w:numPr>
    </w:pPr>
  </w:style>
  <w:style w:type="paragraph" w:styleId="BodyTextIndent">
    <w:name w:val="Body Text Indent"/>
    <w:basedOn w:val="Normal"/>
    <w:link w:val="BodyTextIndentChar"/>
    <w:rsid w:val="009D6D51"/>
    <w:pPr>
      <w:spacing w:line="240" w:lineRule="auto"/>
      <w:ind w:firstLine="1496"/>
      <w:jc w:val="both"/>
    </w:pPr>
    <w:rPr>
      <w:rFonts w:ascii="Times New Roman" w:eastAsia="Times New Roman" w:hAnsi="Times New Roman" w:cs="Times New Roman"/>
      <w:sz w:val="24"/>
      <w:szCs w:val="24"/>
      <w:lang w:val="hr-HR" w:eastAsia="hr-HR"/>
    </w:rPr>
  </w:style>
  <w:style w:type="character" w:customStyle="1" w:styleId="BodyTextIndentChar">
    <w:name w:val="Body Text Indent Char"/>
    <w:basedOn w:val="DefaultParagraphFont"/>
    <w:link w:val="BodyTextIndent"/>
    <w:rsid w:val="009D6D51"/>
    <w:rPr>
      <w:rFonts w:ascii="Times New Roman" w:eastAsia="Times New Roman" w:hAnsi="Times New Roman" w:cs="Times New Roman"/>
      <w:sz w:val="24"/>
      <w:szCs w:val="24"/>
      <w:lang w:val="hr-HR" w:eastAsia="hr-HR"/>
    </w:rPr>
  </w:style>
  <w:style w:type="paragraph" w:styleId="PlainText">
    <w:name w:val="Plain Text"/>
    <w:basedOn w:val="Normal"/>
    <w:link w:val="PlainTextChar"/>
    <w:uiPriority w:val="99"/>
    <w:semiHidden/>
    <w:unhideWhenUsed/>
    <w:rsid w:val="00FB1D2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FB1D25"/>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8013">
      <w:bodyDiv w:val="1"/>
      <w:marLeft w:val="0"/>
      <w:marRight w:val="0"/>
      <w:marTop w:val="0"/>
      <w:marBottom w:val="0"/>
      <w:divBdr>
        <w:top w:val="none" w:sz="0" w:space="0" w:color="auto"/>
        <w:left w:val="none" w:sz="0" w:space="0" w:color="auto"/>
        <w:bottom w:val="none" w:sz="0" w:space="0" w:color="auto"/>
        <w:right w:val="none" w:sz="0" w:space="0" w:color="auto"/>
      </w:divBdr>
    </w:div>
    <w:div w:id="300504514">
      <w:bodyDiv w:val="1"/>
      <w:marLeft w:val="0"/>
      <w:marRight w:val="0"/>
      <w:marTop w:val="0"/>
      <w:marBottom w:val="0"/>
      <w:divBdr>
        <w:top w:val="none" w:sz="0" w:space="0" w:color="auto"/>
        <w:left w:val="none" w:sz="0" w:space="0" w:color="auto"/>
        <w:bottom w:val="none" w:sz="0" w:space="0" w:color="auto"/>
        <w:right w:val="none" w:sz="0" w:space="0" w:color="auto"/>
      </w:divBdr>
    </w:div>
    <w:div w:id="359403259">
      <w:bodyDiv w:val="1"/>
      <w:marLeft w:val="0"/>
      <w:marRight w:val="0"/>
      <w:marTop w:val="0"/>
      <w:marBottom w:val="0"/>
      <w:divBdr>
        <w:top w:val="none" w:sz="0" w:space="0" w:color="auto"/>
        <w:left w:val="none" w:sz="0" w:space="0" w:color="auto"/>
        <w:bottom w:val="none" w:sz="0" w:space="0" w:color="auto"/>
        <w:right w:val="none" w:sz="0" w:space="0" w:color="auto"/>
      </w:divBdr>
    </w:div>
    <w:div w:id="503395659">
      <w:bodyDiv w:val="1"/>
      <w:marLeft w:val="0"/>
      <w:marRight w:val="0"/>
      <w:marTop w:val="0"/>
      <w:marBottom w:val="0"/>
      <w:divBdr>
        <w:top w:val="none" w:sz="0" w:space="0" w:color="auto"/>
        <w:left w:val="none" w:sz="0" w:space="0" w:color="auto"/>
        <w:bottom w:val="none" w:sz="0" w:space="0" w:color="auto"/>
        <w:right w:val="none" w:sz="0" w:space="0" w:color="auto"/>
      </w:divBdr>
    </w:div>
    <w:div w:id="604963204">
      <w:bodyDiv w:val="1"/>
      <w:marLeft w:val="0"/>
      <w:marRight w:val="0"/>
      <w:marTop w:val="0"/>
      <w:marBottom w:val="0"/>
      <w:divBdr>
        <w:top w:val="none" w:sz="0" w:space="0" w:color="auto"/>
        <w:left w:val="none" w:sz="0" w:space="0" w:color="auto"/>
        <w:bottom w:val="none" w:sz="0" w:space="0" w:color="auto"/>
        <w:right w:val="none" w:sz="0" w:space="0" w:color="auto"/>
      </w:divBdr>
    </w:div>
    <w:div w:id="639388775">
      <w:bodyDiv w:val="1"/>
      <w:marLeft w:val="0"/>
      <w:marRight w:val="0"/>
      <w:marTop w:val="0"/>
      <w:marBottom w:val="0"/>
      <w:divBdr>
        <w:top w:val="none" w:sz="0" w:space="0" w:color="auto"/>
        <w:left w:val="none" w:sz="0" w:space="0" w:color="auto"/>
        <w:bottom w:val="none" w:sz="0" w:space="0" w:color="auto"/>
        <w:right w:val="none" w:sz="0" w:space="0" w:color="auto"/>
      </w:divBdr>
    </w:div>
    <w:div w:id="669600740">
      <w:bodyDiv w:val="1"/>
      <w:marLeft w:val="0"/>
      <w:marRight w:val="0"/>
      <w:marTop w:val="0"/>
      <w:marBottom w:val="0"/>
      <w:divBdr>
        <w:top w:val="none" w:sz="0" w:space="0" w:color="auto"/>
        <w:left w:val="none" w:sz="0" w:space="0" w:color="auto"/>
        <w:bottom w:val="none" w:sz="0" w:space="0" w:color="auto"/>
        <w:right w:val="none" w:sz="0" w:space="0" w:color="auto"/>
      </w:divBdr>
    </w:div>
    <w:div w:id="869032646">
      <w:bodyDiv w:val="1"/>
      <w:marLeft w:val="0"/>
      <w:marRight w:val="0"/>
      <w:marTop w:val="0"/>
      <w:marBottom w:val="0"/>
      <w:divBdr>
        <w:top w:val="none" w:sz="0" w:space="0" w:color="auto"/>
        <w:left w:val="none" w:sz="0" w:space="0" w:color="auto"/>
        <w:bottom w:val="none" w:sz="0" w:space="0" w:color="auto"/>
        <w:right w:val="none" w:sz="0" w:space="0" w:color="auto"/>
      </w:divBdr>
    </w:div>
    <w:div w:id="1411535105">
      <w:bodyDiv w:val="1"/>
      <w:marLeft w:val="0"/>
      <w:marRight w:val="0"/>
      <w:marTop w:val="0"/>
      <w:marBottom w:val="0"/>
      <w:divBdr>
        <w:top w:val="none" w:sz="0" w:space="0" w:color="auto"/>
        <w:left w:val="none" w:sz="0" w:space="0" w:color="auto"/>
        <w:bottom w:val="none" w:sz="0" w:space="0" w:color="auto"/>
        <w:right w:val="none" w:sz="0" w:space="0" w:color="auto"/>
      </w:divBdr>
    </w:div>
    <w:div w:id="1532037511">
      <w:bodyDiv w:val="1"/>
      <w:marLeft w:val="0"/>
      <w:marRight w:val="0"/>
      <w:marTop w:val="0"/>
      <w:marBottom w:val="0"/>
      <w:divBdr>
        <w:top w:val="none" w:sz="0" w:space="0" w:color="auto"/>
        <w:left w:val="none" w:sz="0" w:space="0" w:color="auto"/>
        <w:bottom w:val="none" w:sz="0" w:space="0" w:color="auto"/>
        <w:right w:val="none" w:sz="0" w:space="0" w:color="auto"/>
      </w:divBdr>
    </w:div>
    <w:div w:id="2015455104">
      <w:bodyDiv w:val="1"/>
      <w:marLeft w:val="0"/>
      <w:marRight w:val="0"/>
      <w:marTop w:val="0"/>
      <w:marBottom w:val="0"/>
      <w:divBdr>
        <w:top w:val="none" w:sz="0" w:space="0" w:color="auto"/>
        <w:left w:val="none" w:sz="0" w:space="0" w:color="auto"/>
        <w:bottom w:val="none" w:sz="0" w:space="0" w:color="auto"/>
        <w:right w:val="none" w:sz="0" w:space="0" w:color="auto"/>
      </w:divBdr>
    </w:div>
    <w:div w:id="21118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emf"/><Relationship Id="rId39" Type="http://schemas.openxmlformats.org/officeDocument/2006/relationships/image" Target="media/image26.emf"/><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emf"/><Relationship Id="rId38"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9.png"/><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7358-B8AB-4697-940F-26BFB2CA9AA2}">
  <ds:schemaRefs>
    <ds:schemaRef ds:uri="http://schemas.microsoft.com/sharepoint/v3/contenttype/forms"/>
  </ds:schemaRefs>
</ds:datastoreItem>
</file>

<file path=customXml/itemProps2.xml><?xml version="1.0" encoding="utf-8"?>
<ds:datastoreItem xmlns:ds="http://schemas.openxmlformats.org/officeDocument/2006/customXml" ds:itemID="{2E7AD0D0-DEDD-42EC-90AF-E7DA6CFB5736}">
  <ds:schemaRefs>
    <ds:schemaRef ds:uri="http://schemas.microsoft.com/sharepoint/events"/>
  </ds:schemaRefs>
</ds:datastoreItem>
</file>

<file path=customXml/itemProps3.xml><?xml version="1.0" encoding="utf-8"?>
<ds:datastoreItem xmlns:ds="http://schemas.openxmlformats.org/officeDocument/2006/customXml" ds:itemID="{72319CDE-5785-4608-AF78-98B6D29C2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B6BB2-BE87-4A70-B27F-44BB81115ED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549CA68-C763-4D94-8BAC-F52E00A1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11647</Words>
  <Characters>66391</Characters>
  <Application>Microsoft Office Word</Application>
  <DocSecurity>0</DocSecurity>
  <Lines>553</Lines>
  <Paragraphs>155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Vlatka Šelimber</cp:lastModifiedBy>
  <cp:revision>2</cp:revision>
  <cp:lastPrinted>2019-05-27T09:52:00Z</cp:lastPrinted>
  <dcterms:created xsi:type="dcterms:W3CDTF">2019-06-05T14:28:00Z</dcterms:created>
  <dcterms:modified xsi:type="dcterms:W3CDTF">2019-06-05T14:28:00Z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